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3448" w14:textId="6356E9D7" w:rsidR="002616B4" w:rsidRPr="00FF102E" w:rsidRDefault="00000000" w:rsidP="00FF102E">
      <w:pPr>
        <w:spacing w:after="0" w:line="240" w:lineRule="auto"/>
        <w:contextualSpacing/>
        <w:jc w:val="center"/>
        <w:rPr>
          <w:b/>
          <w:bCs/>
        </w:rPr>
      </w:pPr>
      <w:r w:rsidRPr="00FF102E">
        <w:rPr>
          <w:b/>
          <w:bCs/>
        </w:rPr>
        <w:t>University Senate Meeting Agenda</w:t>
      </w:r>
    </w:p>
    <w:p w14:paraId="6DAF5DC8" w14:textId="77777777" w:rsidR="008C1748" w:rsidRPr="003A5018" w:rsidRDefault="00000000" w:rsidP="00FF102E">
      <w:pPr>
        <w:spacing w:after="0" w:line="240" w:lineRule="auto"/>
        <w:contextualSpacing/>
        <w:jc w:val="center"/>
      </w:pPr>
      <w:r w:rsidRPr="003A5018">
        <w:t>Friday, 20 October 2023 at 3:30 PM, AS 2-72</w:t>
      </w:r>
    </w:p>
    <w:p w14:paraId="6A74EBD2" w14:textId="0962231D" w:rsidR="002616B4" w:rsidRPr="003A5018" w:rsidRDefault="00000000" w:rsidP="00FF102E">
      <w:pPr>
        <w:spacing w:after="0" w:line="240" w:lineRule="auto"/>
        <w:contextualSpacing/>
        <w:jc w:val="center"/>
      </w:pPr>
      <w:hyperlink r:id="rId7">
        <w:r w:rsidRPr="003A5018">
          <w:rPr>
            <w:rStyle w:val="Hyperlink"/>
          </w:rPr>
          <w:t>https://senate.gcsu.edu</w:t>
        </w:r>
      </w:hyperlink>
      <w:hyperlink r:id="rId8">
        <w:r w:rsidRPr="003A5018">
          <w:rPr>
            <w:rStyle w:val="Hyperlink"/>
          </w:rPr>
          <w:t xml:space="preserve"> </w:t>
        </w:r>
      </w:hyperlink>
    </w:p>
    <w:tbl>
      <w:tblPr>
        <w:tblStyle w:val="TableGrid"/>
        <w:tblW w:w="108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2" w:type="dxa"/>
          <w:left w:w="107" w:type="dxa"/>
          <w:bottom w:w="5" w:type="dxa"/>
          <w:right w:w="115" w:type="dxa"/>
        </w:tblCellMar>
        <w:tblLook w:val="0600" w:firstRow="0" w:lastRow="0" w:firstColumn="0" w:lastColumn="0" w:noHBand="1" w:noVBand="1"/>
      </w:tblPr>
      <w:tblGrid>
        <w:gridCol w:w="9000"/>
        <w:gridCol w:w="1800"/>
      </w:tblGrid>
      <w:tr w:rsidR="00FF102E" w:rsidRPr="003A5018" w14:paraId="47BD07F4" w14:textId="77777777" w:rsidTr="004C738C">
        <w:trPr>
          <w:trHeight w:val="20"/>
        </w:trPr>
        <w:tc>
          <w:tcPr>
            <w:tcW w:w="9000" w:type="dxa"/>
          </w:tcPr>
          <w:p w14:paraId="5526DC64" w14:textId="4D2B1D90" w:rsidR="00FF102E" w:rsidRPr="003A5018" w:rsidRDefault="00FF102E" w:rsidP="00FF102E">
            <w:r w:rsidRPr="00FF102E">
              <w:rPr>
                <w:b/>
                <w:bCs/>
              </w:rPr>
              <w:t>Agenda Item and Presenter</w:t>
            </w:r>
          </w:p>
        </w:tc>
        <w:tc>
          <w:tcPr>
            <w:tcW w:w="1800" w:type="dxa"/>
          </w:tcPr>
          <w:p w14:paraId="4EE1CE88" w14:textId="1801F4A6" w:rsidR="00FF102E" w:rsidRPr="00FF102E" w:rsidRDefault="00FF102E" w:rsidP="0002556E">
            <w:pPr>
              <w:contextualSpacing/>
              <w:rPr>
                <w:b/>
                <w:bCs/>
              </w:rPr>
            </w:pPr>
            <w:r w:rsidRPr="00FF102E">
              <w:rPr>
                <w:b/>
                <w:bCs/>
              </w:rPr>
              <w:t>Vote Required?</w:t>
            </w:r>
          </w:p>
        </w:tc>
      </w:tr>
      <w:tr w:rsidR="003A5018" w:rsidRPr="003A5018" w14:paraId="6968C2ED" w14:textId="77777777" w:rsidTr="004C738C">
        <w:trPr>
          <w:trHeight w:val="20"/>
        </w:trPr>
        <w:tc>
          <w:tcPr>
            <w:tcW w:w="9000" w:type="dxa"/>
          </w:tcPr>
          <w:p w14:paraId="2287D4E0" w14:textId="612A1CDB" w:rsidR="003A5018" w:rsidRPr="003A5018" w:rsidRDefault="003A5018" w:rsidP="00FF102E">
            <w:pPr>
              <w:pStyle w:val="ListParagraph"/>
              <w:numPr>
                <w:ilvl w:val="0"/>
                <w:numId w:val="5"/>
              </w:numPr>
            </w:pPr>
            <w:r w:rsidRPr="00FF102E">
              <w:rPr>
                <w:b/>
                <w:bCs/>
              </w:rPr>
              <w:t>Call to Order</w:t>
            </w:r>
            <w:r w:rsidRPr="003A5018">
              <w:t xml:space="preserve"> – Rob Sumowski, Presiding Officer</w:t>
            </w:r>
          </w:p>
        </w:tc>
        <w:tc>
          <w:tcPr>
            <w:tcW w:w="1800" w:type="dxa"/>
          </w:tcPr>
          <w:p w14:paraId="4FFE49F9" w14:textId="27EBDAD1" w:rsidR="003A5018" w:rsidRPr="00FF102E" w:rsidRDefault="003A5018" w:rsidP="0002556E">
            <w:pPr>
              <w:contextualSpacing/>
              <w:rPr>
                <w:b/>
                <w:bCs/>
              </w:rPr>
            </w:pPr>
            <w:r w:rsidRPr="00FF102E">
              <w:rPr>
                <w:b/>
                <w:bCs/>
              </w:rPr>
              <w:t>NO</w:t>
            </w:r>
          </w:p>
        </w:tc>
      </w:tr>
      <w:tr w:rsidR="003A5018" w:rsidRPr="003A5018" w14:paraId="69AE9528" w14:textId="77777777" w:rsidTr="004C738C">
        <w:trPr>
          <w:trHeight w:val="20"/>
        </w:trPr>
        <w:tc>
          <w:tcPr>
            <w:tcW w:w="9000" w:type="dxa"/>
          </w:tcPr>
          <w:p w14:paraId="20E19C30" w14:textId="4358A056" w:rsidR="00FF102E" w:rsidRDefault="003A5018" w:rsidP="00B91D9D">
            <w:pPr>
              <w:pStyle w:val="ListParagraph"/>
              <w:numPr>
                <w:ilvl w:val="0"/>
                <w:numId w:val="5"/>
              </w:numPr>
            </w:pPr>
            <w:r w:rsidRPr="00FF102E">
              <w:rPr>
                <w:b/>
                <w:bCs/>
              </w:rPr>
              <w:t>Consent Agenda</w:t>
            </w:r>
            <w:r w:rsidRPr="003A5018">
              <w:t xml:space="preserve"> – Rob Sumowski </w:t>
            </w:r>
          </w:p>
          <w:p w14:paraId="1492837A" w14:textId="77777777" w:rsidR="00FF102E" w:rsidRDefault="003A5018" w:rsidP="00B91D9D">
            <w:pPr>
              <w:pStyle w:val="ListParagraph"/>
              <w:numPr>
                <w:ilvl w:val="1"/>
                <w:numId w:val="5"/>
              </w:numPr>
            </w:pPr>
            <w:r w:rsidRPr="003A5018">
              <w:t>University Senate Meeting Agenda (20 October 2023)</w:t>
            </w:r>
          </w:p>
          <w:p w14:paraId="19EA1D49" w14:textId="2D619B60" w:rsidR="003A5018" w:rsidRPr="003A5018" w:rsidRDefault="003A5018" w:rsidP="00B91D9D">
            <w:pPr>
              <w:pStyle w:val="ListParagraph"/>
              <w:numPr>
                <w:ilvl w:val="1"/>
                <w:numId w:val="5"/>
              </w:numPr>
            </w:pPr>
            <w:r w:rsidRPr="003A5018">
              <w:t>University Senate Meeting Minutes (15 September 2023)</w:t>
            </w:r>
          </w:p>
        </w:tc>
        <w:tc>
          <w:tcPr>
            <w:tcW w:w="1800" w:type="dxa"/>
          </w:tcPr>
          <w:p w14:paraId="0362329E" w14:textId="77777777" w:rsidR="003A5018" w:rsidRPr="00FF102E" w:rsidRDefault="003A5018" w:rsidP="0002556E">
            <w:pPr>
              <w:contextualSpacing/>
              <w:rPr>
                <w:b/>
                <w:bCs/>
              </w:rPr>
            </w:pPr>
            <w:r w:rsidRPr="00FF102E">
              <w:rPr>
                <w:b/>
                <w:bCs/>
              </w:rPr>
              <w:t xml:space="preserve">YES </w:t>
            </w:r>
          </w:p>
          <w:p w14:paraId="693C8D92" w14:textId="77777777" w:rsidR="003A5018" w:rsidRPr="00FF102E" w:rsidRDefault="003A5018" w:rsidP="0002556E">
            <w:pPr>
              <w:contextualSpacing/>
              <w:rPr>
                <w:i/>
                <w:iCs/>
              </w:rPr>
            </w:pPr>
            <w:r w:rsidRPr="003A5018">
              <w:t>(</w:t>
            </w:r>
            <w:proofErr w:type="gramStart"/>
            <w:r w:rsidRPr="00FF102E">
              <w:rPr>
                <w:i/>
                <w:iCs/>
              </w:rPr>
              <w:t>all</w:t>
            </w:r>
            <w:proofErr w:type="gramEnd"/>
            <w:r w:rsidRPr="00FF102E">
              <w:rPr>
                <w:i/>
                <w:iCs/>
              </w:rPr>
              <w:t xml:space="preserve"> University </w:t>
            </w:r>
          </w:p>
          <w:p w14:paraId="784AD3DC" w14:textId="53100064" w:rsidR="003A5018" w:rsidRPr="003A5018" w:rsidRDefault="003A5018" w:rsidP="0002556E">
            <w:pPr>
              <w:contextualSpacing/>
            </w:pPr>
            <w:proofErr w:type="gramStart"/>
            <w:r w:rsidRPr="00FF102E">
              <w:rPr>
                <w:i/>
                <w:iCs/>
              </w:rPr>
              <w:t>Senators</w:t>
            </w:r>
            <w:proofErr w:type="gramEnd"/>
            <w:r w:rsidRPr="00FF102E">
              <w:rPr>
                <w:i/>
                <w:iCs/>
              </w:rPr>
              <w:t xml:space="preserve"> vote</w:t>
            </w:r>
            <w:r w:rsidRPr="003A5018">
              <w:t>)</w:t>
            </w:r>
          </w:p>
        </w:tc>
      </w:tr>
      <w:tr w:rsidR="002616B4" w:rsidRPr="003A5018" w14:paraId="54C597AA" w14:textId="77777777" w:rsidTr="004C738C">
        <w:trPr>
          <w:trHeight w:val="20"/>
        </w:trPr>
        <w:tc>
          <w:tcPr>
            <w:tcW w:w="9000" w:type="dxa"/>
            <w:vAlign w:val="center"/>
          </w:tcPr>
          <w:p w14:paraId="15011F7A" w14:textId="77777777" w:rsidR="00FF102E" w:rsidRPr="00FF102E" w:rsidRDefault="00000000" w:rsidP="0002556E">
            <w:pPr>
              <w:pStyle w:val="ListParagraph"/>
              <w:numPr>
                <w:ilvl w:val="0"/>
                <w:numId w:val="5"/>
              </w:numPr>
              <w:rPr>
                <w:b/>
                <w:bCs/>
              </w:rPr>
            </w:pPr>
            <w:r w:rsidRPr="00FF102E">
              <w:rPr>
                <w:b/>
                <w:bCs/>
              </w:rPr>
              <w:t>New Business</w:t>
            </w:r>
          </w:p>
          <w:p w14:paraId="202E800A" w14:textId="6B676B3D" w:rsidR="002616B4" w:rsidRPr="003A5018" w:rsidRDefault="00000000" w:rsidP="00B91D9D">
            <w:pPr>
              <w:pStyle w:val="ListParagraph"/>
              <w:numPr>
                <w:ilvl w:val="1"/>
                <w:numId w:val="5"/>
              </w:numPr>
            </w:pPr>
            <w:hyperlink r:id="rId9">
              <w:r w:rsidRPr="003A5018">
                <w:rPr>
                  <w:rStyle w:val="Hyperlink"/>
                </w:rPr>
                <w:t>2324.APC.001.</w:t>
              </w:r>
              <w:r w:rsidR="00FF102E">
                <w:rPr>
                  <w:rStyle w:val="Hyperlink"/>
                </w:rPr>
                <w:t>P Student Academic Dishonesty Policy Revision</w:t>
              </w:r>
            </w:hyperlink>
            <w:r w:rsidR="00FF102E">
              <w:t xml:space="preserve"> T</w:t>
            </w:r>
            <w:r w:rsidRPr="003A5018">
              <w:t xml:space="preserve">o revise the Student Academic Dishonesty Policy as proposed in the supporting documents and to endorse the guidelines and procedural recommendations made within the attached motion. </w:t>
            </w:r>
          </w:p>
        </w:tc>
        <w:tc>
          <w:tcPr>
            <w:tcW w:w="1800" w:type="dxa"/>
          </w:tcPr>
          <w:p w14:paraId="28C1B1D0" w14:textId="77777777" w:rsidR="002616B4" w:rsidRPr="00FF102E" w:rsidRDefault="00000000" w:rsidP="0002556E">
            <w:pPr>
              <w:contextualSpacing/>
              <w:rPr>
                <w:b/>
                <w:bCs/>
              </w:rPr>
            </w:pPr>
            <w:r w:rsidRPr="00FF102E">
              <w:rPr>
                <w:b/>
                <w:bCs/>
              </w:rPr>
              <w:t xml:space="preserve">YES  </w:t>
            </w:r>
          </w:p>
          <w:p w14:paraId="29CF43A4" w14:textId="77777777" w:rsidR="002616B4" w:rsidRPr="00B91D9D" w:rsidRDefault="00000000" w:rsidP="0002556E">
            <w:pPr>
              <w:contextualSpacing/>
              <w:rPr>
                <w:i/>
                <w:iCs/>
              </w:rPr>
            </w:pPr>
            <w:r w:rsidRPr="003A5018">
              <w:t>(</w:t>
            </w:r>
            <w:proofErr w:type="gramStart"/>
            <w:r w:rsidRPr="00B91D9D">
              <w:rPr>
                <w:i/>
                <w:iCs/>
              </w:rPr>
              <w:t>all</w:t>
            </w:r>
            <w:proofErr w:type="gramEnd"/>
            <w:r w:rsidRPr="00B91D9D">
              <w:rPr>
                <w:i/>
                <w:iCs/>
              </w:rPr>
              <w:t xml:space="preserve"> University </w:t>
            </w:r>
          </w:p>
          <w:p w14:paraId="5B1BCE48" w14:textId="0206DBA4" w:rsidR="002616B4" w:rsidRPr="003A5018" w:rsidRDefault="00000000" w:rsidP="0002556E">
            <w:pPr>
              <w:contextualSpacing/>
            </w:pPr>
            <w:proofErr w:type="gramStart"/>
            <w:r w:rsidRPr="00B91D9D">
              <w:rPr>
                <w:i/>
                <w:iCs/>
              </w:rPr>
              <w:t>Senators</w:t>
            </w:r>
            <w:proofErr w:type="gramEnd"/>
            <w:r w:rsidRPr="00B91D9D">
              <w:rPr>
                <w:i/>
                <w:iCs/>
              </w:rPr>
              <w:t xml:space="preserve"> vote</w:t>
            </w:r>
            <w:r w:rsidRPr="003A5018">
              <w:t xml:space="preserve">) </w:t>
            </w:r>
          </w:p>
        </w:tc>
      </w:tr>
      <w:tr w:rsidR="002616B4" w:rsidRPr="003A5018" w14:paraId="0646A909" w14:textId="77777777" w:rsidTr="004C738C">
        <w:trPr>
          <w:trHeight w:val="20"/>
        </w:trPr>
        <w:tc>
          <w:tcPr>
            <w:tcW w:w="9000" w:type="dxa"/>
          </w:tcPr>
          <w:p w14:paraId="3B584A19" w14:textId="763D61C0" w:rsidR="002616B4" w:rsidRPr="003A5018" w:rsidRDefault="00000000" w:rsidP="00B91D9D">
            <w:pPr>
              <w:pStyle w:val="ListParagraph"/>
              <w:numPr>
                <w:ilvl w:val="0"/>
                <w:numId w:val="5"/>
              </w:numPr>
            </w:pPr>
            <w:r w:rsidRPr="00B91D9D">
              <w:rPr>
                <w:b/>
                <w:bCs/>
              </w:rPr>
              <w:t>President’s Report</w:t>
            </w:r>
            <w:r w:rsidRPr="003A5018">
              <w:t xml:space="preserve"> – President Cox</w:t>
            </w:r>
          </w:p>
          <w:p w14:paraId="451F65CB" w14:textId="02993D95" w:rsidR="002616B4" w:rsidRPr="003A5018" w:rsidRDefault="00000000" w:rsidP="00B91D9D">
            <w:pPr>
              <w:pStyle w:val="ListParagraph"/>
              <w:numPr>
                <w:ilvl w:val="0"/>
                <w:numId w:val="5"/>
              </w:numPr>
            </w:pPr>
            <w:r w:rsidRPr="00B91D9D">
              <w:rPr>
                <w:b/>
                <w:bCs/>
              </w:rPr>
              <w:t>Provost’s Report</w:t>
            </w:r>
            <w:r w:rsidRPr="003A5018">
              <w:t xml:space="preserve"> – Provost Spirou  </w:t>
            </w:r>
          </w:p>
        </w:tc>
        <w:tc>
          <w:tcPr>
            <w:tcW w:w="1800" w:type="dxa"/>
          </w:tcPr>
          <w:p w14:paraId="6090E5E0" w14:textId="77777777" w:rsidR="002616B4" w:rsidRPr="00B91D9D" w:rsidRDefault="00000000" w:rsidP="0002556E">
            <w:pPr>
              <w:contextualSpacing/>
              <w:rPr>
                <w:b/>
                <w:bCs/>
              </w:rPr>
            </w:pPr>
            <w:r w:rsidRPr="00B91D9D">
              <w:rPr>
                <w:b/>
                <w:bCs/>
              </w:rPr>
              <w:t xml:space="preserve">NO </w:t>
            </w:r>
          </w:p>
          <w:p w14:paraId="31CFA701" w14:textId="77777777" w:rsidR="002616B4" w:rsidRPr="003A5018" w:rsidRDefault="00000000" w:rsidP="0002556E">
            <w:pPr>
              <w:contextualSpacing/>
            </w:pPr>
            <w:r w:rsidRPr="00B91D9D">
              <w:rPr>
                <w:b/>
                <w:bCs/>
              </w:rPr>
              <w:t>NO</w:t>
            </w:r>
            <w:r w:rsidRPr="003A5018">
              <w:t xml:space="preserve"> </w:t>
            </w:r>
          </w:p>
        </w:tc>
      </w:tr>
      <w:tr w:rsidR="002616B4" w:rsidRPr="003A5018" w14:paraId="7A9CA347" w14:textId="77777777" w:rsidTr="004C738C">
        <w:trPr>
          <w:trHeight w:val="20"/>
        </w:trPr>
        <w:tc>
          <w:tcPr>
            <w:tcW w:w="9000" w:type="dxa"/>
            <w:vAlign w:val="center"/>
          </w:tcPr>
          <w:p w14:paraId="3DDB6FFD" w14:textId="77777777" w:rsidR="00B91D9D" w:rsidRDefault="00000000" w:rsidP="0002556E">
            <w:pPr>
              <w:pStyle w:val="ListParagraph"/>
              <w:numPr>
                <w:ilvl w:val="0"/>
                <w:numId w:val="5"/>
              </w:numPr>
              <w:rPr>
                <w:b/>
                <w:bCs/>
              </w:rPr>
            </w:pPr>
            <w:r w:rsidRPr="00B91D9D">
              <w:rPr>
                <w:b/>
                <w:bCs/>
              </w:rPr>
              <w:t xml:space="preserve">Standing Committee Reports </w:t>
            </w:r>
          </w:p>
          <w:p w14:paraId="554016E8" w14:textId="77777777" w:rsidR="00B91D9D" w:rsidRPr="00B91D9D" w:rsidRDefault="00000000" w:rsidP="00B91D9D">
            <w:pPr>
              <w:pStyle w:val="ListParagraph"/>
              <w:numPr>
                <w:ilvl w:val="1"/>
                <w:numId w:val="5"/>
              </w:numPr>
              <w:rPr>
                <w:b/>
                <w:bCs/>
              </w:rPr>
            </w:pPr>
            <w:r w:rsidRPr="003A5018">
              <w:t>Academic Policy Committee (APC) – Andrew Allen</w:t>
            </w:r>
          </w:p>
          <w:p w14:paraId="4C7B5216" w14:textId="77777777" w:rsidR="00B91D9D" w:rsidRPr="00B91D9D" w:rsidRDefault="00000000" w:rsidP="00B91D9D">
            <w:pPr>
              <w:pStyle w:val="ListParagraph"/>
              <w:numPr>
                <w:ilvl w:val="1"/>
                <w:numId w:val="5"/>
              </w:numPr>
              <w:rPr>
                <w:b/>
                <w:bCs/>
              </w:rPr>
            </w:pPr>
            <w:r w:rsidRPr="003A5018">
              <w:t xml:space="preserve">Diversity, Equity, Inclusion Committee (DEIPC) – Trae Welborn </w:t>
            </w:r>
          </w:p>
          <w:p w14:paraId="3CA8D1A9" w14:textId="77777777" w:rsidR="00B91D9D" w:rsidRPr="00B91D9D" w:rsidRDefault="00000000" w:rsidP="00B91D9D">
            <w:pPr>
              <w:pStyle w:val="ListParagraph"/>
              <w:numPr>
                <w:ilvl w:val="1"/>
                <w:numId w:val="5"/>
              </w:numPr>
              <w:rPr>
                <w:b/>
                <w:bCs/>
              </w:rPr>
            </w:pPr>
            <w:r w:rsidRPr="003A5018">
              <w:t xml:space="preserve">Executive Committee of the University Senate (ECUS) – Rob Sumowski </w:t>
            </w:r>
          </w:p>
          <w:p w14:paraId="0CF0CC87" w14:textId="77777777" w:rsidR="00B91D9D" w:rsidRPr="00B91D9D" w:rsidRDefault="00000000" w:rsidP="00B91D9D">
            <w:pPr>
              <w:pStyle w:val="ListParagraph"/>
              <w:numPr>
                <w:ilvl w:val="2"/>
                <w:numId w:val="5"/>
              </w:numPr>
              <w:rPr>
                <w:b/>
                <w:bCs/>
              </w:rPr>
            </w:pPr>
            <w:r w:rsidRPr="003A5018">
              <w:t>Subcommittee on Nominations (</w:t>
            </w:r>
            <w:proofErr w:type="spellStart"/>
            <w:r w:rsidRPr="003A5018">
              <w:t>SCoN</w:t>
            </w:r>
            <w:proofErr w:type="spellEnd"/>
            <w:r w:rsidRPr="003A5018">
              <w:t xml:space="preserve">) – Catherine Fowler </w:t>
            </w:r>
          </w:p>
          <w:p w14:paraId="6294D669" w14:textId="77777777" w:rsidR="00B91D9D" w:rsidRPr="00B91D9D" w:rsidRDefault="00000000" w:rsidP="00B91D9D">
            <w:pPr>
              <w:pStyle w:val="ListParagraph"/>
              <w:numPr>
                <w:ilvl w:val="1"/>
                <w:numId w:val="5"/>
              </w:numPr>
              <w:rPr>
                <w:b/>
                <w:bCs/>
              </w:rPr>
            </w:pPr>
            <w:r w:rsidRPr="003A5018">
              <w:t xml:space="preserve">Faculty Affairs Policy Committee (FAPC) – Stephanie Jett </w:t>
            </w:r>
          </w:p>
          <w:p w14:paraId="275521B2" w14:textId="77777777" w:rsidR="00B91D9D" w:rsidRPr="00B91D9D" w:rsidRDefault="00000000" w:rsidP="00B91D9D">
            <w:pPr>
              <w:pStyle w:val="ListParagraph"/>
              <w:numPr>
                <w:ilvl w:val="1"/>
                <w:numId w:val="5"/>
              </w:numPr>
              <w:rPr>
                <w:b/>
                <w:bCs/>
              </w:rPr>
            </w:pPr>
            <w:r w:rsidRPr="003A5018">
              <w:t xml:space="preserve">Resources, </w:t>
            </w:r>
            <w:proofErr w:type="gramStart"/>
            <w:r w:rsidRPr="003A5018">
              <w:t>Planning</w:t>
            </w:r>
            <w:proofErr w:type="gramEnd"/>
            <w:r w:rsidRPr="003A5018">
              <w:t xml:space="preserve"> and Institutional Policy Committee (RPIPC) – Brad Fowler</w:t>
            </w:r>
          </w:p>
          <w:p w14:paraId="6E40B32B" w14:textId="77777777" w:rsidR="00B91D9D" w:rsidRPr="00B91D9D" w:rsidRDefault="00000000" w:rsidP="00B91D9D">
            <w:pPr>
              <w:pStyle w:val="ListParagraph"/>
              <w:numPr>
                <w:ilvl w:val="1"/>
                <w:numId w:val="5"/>
              </w:numPr>
              <w:rPr>
                <w:b/>
                <w:bCs/>
              </w:rPr>
            </w:pPr>
            <w:r w:rsidRPr="003A5018">
              <w:t xml:space="preserve">Student Affairs Policy Committee (SAPC) – Gregory J. Glotzbecker </w:t>
            </w:r>
          </w:p>
          <w:p w14:paraId="247E3BD9" w14:textId="4A49048F" w:rsidR="002616B4" w:rsidRPr="00B91D9D" w:rsidRDefault="00000000" w:rsidP="00B91D9D">
            <w:pPr>
              <w:pStyle w:val="ListParagraph"/>
              <w:numPr>
                <w:ilvl w:val="2"/>
                <w:numId w:val="5"/>
              </w:numPr>
              <w:rPr>
                <w:b/>
                <w:bCs/>
              </w:rPr>
            </w:pPr>
            <w:r w:rsidRPr="003A5018">
              <w:t xml:space="preserve">Student Government Association (SGA) – Connor Hilly </w:t>
            </w:r>
          </w:p>
        </w:tc>
        <w:tc>
          <w:tcPr>
            <w:tcW w:w="1800" w:type="dxa"/>
          </w:tcPr>
          <w:p w14:paraId="0F7E47FE" w14:textId="67B97C27" w:rsidR="002616B4" w:rsidRPr="00CF20C3" w:rsidRDefault="00000000" w:rsidP="0002556E">
            <w:pPr>
              <w:contextualSpacing/>
              <w:rPr>
                <w:b/>
                <w:bCs/>
              </w:rPr>
            </w:pPr>
            <w:r w:rsidRPr="00B91D9D">
              <w:rPr>
                <w:b/>
                <w:bCs/>
              </w:rPr>
              <w:t>NO</w:t>
            </w:r>
            <w:r w:rsidRPr="003A5018">
              <w:t xml:space="preserve"> </w:t>
            </w:r>
          </w:p>
        </w:tc>
      </w:tr>
      <w:tr w:rsidR="002616B4" w:rsidRPr="003A5018" w14:paraId="1D1A78DD" w14:textId="77777777" w:rsidTr="004C738C">
        <w:trPr>
          <w:trHeight w:val="20"/>
        </w:trPr>
        <w:tc>
          <w:tcPr>
            <w:tcW w:w="9000" w:type="dxa"/>
          </w:tcPr>
          <w:p w14:paraId="1BFDE998" w14:textId="77777777" w:rsidR="00B91D9D" w:rsidRDefault="00000000" w:rsidP="0002556E">
            <w:pPr>
              <w:pStyle w:val="ListParagraph"/>
              <w:numPr>
                <w:ilvl w:val="0"/>
                <w:numId w:val="5"/>
              </w:numPr>
              <w:rPr>
                <w:b/>
                <w:bCs/>
              </w:rPr>
            </w:pPr>
            <w:r w:rsidRPr="00B91D9D">
              <w:rPr>
                <w:b/>
                <w:bCs/>
              </w:rPr>
              <w:t xml:space="preserve">Announcements/Information Items </w:t>
            </w:r>
          </w:p>
          <w:p w14:paraId="6B9FFC3B" w14:textId="77777777" w:rsidR="00B91D9D" w:rsidRPr="00B91D9D" w:rsidRDefault="00000000" w:rsidP="0002556E">
            <w:pPr>
              <w:pStyle w:val="ListParagraph"/>
              <w:numPr>
                <w:ilvl w:val="1"/>
                <w:numId w:val="5"/>
              </w:numPr>
              <w:rPr>
                <w:b/>
                <w:bCs/>
              </w:rPr>
            </w:pPr>
            <w:r w:rsidRPr="003A5018">
              <w:t xml:space="preserve">University Curriculum Committee (UCC) Update – Lyndall Muschell, UCC Chair </w:t>
            </w:r>
          </w:p>
          <w:p w14:paraId="3AAFDCE9" w14:textId="5F70209C" w:rsidR="002616B4" w:rsidRPr="00B91D9D" w:rsidRDefault="00000000" w:rsidP="0002556E">
            <w:pPr>
              <w:pStyle w:val="ListParagraph"/>
              <w:numPr>
                <w:ilvl w:val="1"/>
                <w:numId w:val="5"/>
              </w:numPr>
              <w:rPr>
                <w:b/>
                <w:bCs/>
              </w:rPr>
            </w:pPr>
            <w:r w:rsidRPr="003A5018">
              <w:t>On October 4, 2023, the BOR approved a request by the USG to amend Board policy 3.3.1 Core Curriculum, effective immediately, with full implementation by Fall 2024. The key amendments relate to (1) changing the nomenclature of core curriculum areas, and (2) include a system-wide learning outcomes and career</w:t>
            </w:r>
            <w:r w:rsidR="003A5018">
              <w:t xml:space="preserve"> </w:t>
            </w:r>
            <w:r w:rsidRPr="003A5018">
              <w:t xml:space="preserve">ready competencies (Source: Provost Spirou’s report to ECUS). </w:t>
            </w:r>
          </w:p>
        </w:tc>
        <w:tc>
          <w:tcPr>
            <w:tcW w:w="1800" w:type="dxa"/>
          </w:tcPr>
          <w:p w14:paraId="07BA9CB5" w14:textId="77777777" w:rsidR="002616B4" w:rsidRPr="00B91D9D" w:rsidRDefault="00000000" w:rsidP="0002556E">
            <w:pPr>
              <w:contextualSpacing/>
              <w:rPr>
                <w:b/>
                <w:bCs/>
              </w:rPr>
            </w:pPr>
            <w:r w:rsidRPr="00B91D9D">
              <w:rPr>
                <w:b/>
                <w:bCs/>
              </w:rPr>
              <w:t xml:space="preserve">NO </w:t>
            </w:r>
          </w:p>
        </w:tc>
      </w:tr>
      <w:tr w:rsidR="002616B4" w:rsidRPr="003A5018" w14:paraId="24622E85" w14:textId="77777777" w:rsidTr="004C738C">
        <w:trPr>
          <w:trHeight w:val="20"/>
        </w:trPr>
        <w:tc>
          <w:tcPr>
            <w:tcW w:w="9000" w:type="dxa"/>
          </w:tcPr>
          <w:p w14:paraId="1B9B771A" w14:textId="322874B5" w:rsidR="002616B4" w:rsidRPr="003A5018" w:rsidRDefault="00000000" w:rsidP="00B91D9D">
            <w:pPr>
              <w:pStyle w:val="ListParagraph"/>
              <w:numPr>
                <w:ilvl w:val="0"/>
                <w:numId w:val="5"/>
              </w:numPr>
            </w:pPr>
            <w:r w:rsidRPr="00B91D9D">
              <w:rPr>
                <w:b/>
                <w:bCs/>
              </w:rPr>
              <w:t>Awarding of University Recognitions (Senate Pins)</w:t>
            </w:r>
            <w:r w:rsidRPr="003A5018">
              <w:t xml:space="preserve"> Connor Hilly, Deidra Kellerman </w:t>
            </w:r>
          </w:p>
        </w:tc>
        <w:tc>
          <w:tcPr>
            <w:tcW w:w="1800" w:type="dxa"/>
          </w:tcPr>
          <w:p w14:paraId="3634D87E" w14:textId="11B0D654" w:rsidR="002616B4" w:rsidRPr="00B91D9D" w:rsidRDefault="003A5018" w:rsidP="0002556E">
            <w:pPr>
              <w:contextualSpacing/>
              <w:rPr>
                <w:b/>
                <w:bCs/>
              </w:rPr>
            </w:pPr>
            <w:r w:rsidRPr="00B91D9D">
              <w:rPr>
                <w:b/>
                <w:bCs/>
              </w:rPr>
              <w:t>NO</w:t>
            </w:r>
          </w:p>
        </w:tc>
      </w:tr>
      <w:tr w:rsidR="002616B4" w:rsidRPr="003A5018" w14:paraId="4A8C97E1" w14:textId="77777777" w:rsidTr="004C738C">
        <w:trPr>
          <w:trHeight w:val="20"/>
        </w:trPr>
        <w:tc>
          <w:tcPr>
            <w:tcW w:w="9000" w:type="dxa"/>
          </w:tcPr>
          <w:p w14:paraId="659F6880" w14:textId="5D67C066" w:rsidR="002616B4" w:rsidRPr="00B91D9D" w:rsidRDefault="00000000" w:rsidP="00B91D9D">
            <w:pPr>
              <w:pStyle w:val="ListParagraph"/>
              <w:numPr>
                <w:ilvl w:val="0"/>
                <w:numId w:val="5"/>
              </w:numPr>
              <w:rPr>
                <w:b/>
                <w:bCs/>
              </w:rPr>
            </w:pPr>
            <w:r w:rsidRPr="00B91D9D">
              <w:rPr>
                <w:b/>
                <w:bCs/>
              </w:rPr>
              <w:t xml:space="preserve">Open Discussion </w:t>
            </w:r>
          </w:p>
        </w:tc>
        <w:tc>
          <w:tcPr>
            <w:tcW w:w="1800" w:type="dxa"/>
          </w:tcPr>
          <w:p w14:paraId="2F78DB94" w14:textId="481B193A" w:rsidR="002616B4" w:rsidRPr="00B91D9D" w:rsidRDefault="0002556E" w:rsidP="0002556E">
            <w:pPr>
              <w:contextualSpacing/>
              <w:rPr>
                <w:b/>
                <w:bCs/>
              </w:rPr>
            </w:pPr>
            <w:r w:rsidRPr="00B91D9D">
              <w:rPr>
                <w:b/>
                <w:bCs/>
              </w:rPr>
              <w:t>NO</w:t>
            </w:r>
          </w:p>
        </w:tc>
      </w:tr>
      <w:tr w:rsidR="002616B4" w:rsidRPr="003A5018" w14:paraId="2741A7E9" w14:textId="77777777" w:rsidTr="004C738C">
        <w:trPr>
          <w:trHeight w:val="20"/>
        </w:trPr>
        <w:tc>
          <w:tcPr>
            <w:tcW w:w="9000" w:type="dxa"/>
          </w:tcPr>
          <w:p w14:paraId="0EAB67C9" w14:textId="4A54B8CD" w:rsidR="002616B4" w:rsidRPr="00B91D9D" w:rsidRDefault="00000000" w:rsidP="00B91D9D">
            <w:pPr>
              <w:pStyle w:val="ListParagraph"/>
              <w:numPr>
                <w:ilvl w:val="0"/>
                <w:numId w:val="5"/>
              </w:numPr>
              <w:rPr>
                <w:b/>
                <w:bCs/>
              </w:rPr>
            </w:pPr>
            <w:r w:rsidRPr="00B91D9D">
              <w:rPr>
                <w:b/>
                <w:bCs/>
              </w:rPr>
              <w:t xml:space="preserve">Adjournment </w:t>
            </w:r>
          </w:p>
        </w:tc>
        <w:tc>
          <w:tcPr>
            <w:tcW w:w="1800" w:type="dxa"/>
            <w:vAlign w:val="bottom"/>
          </w:tcPr>
          <w:p w14:paraId="60B943B6" w14:textId="77777777" w:rsidR="002616B4" w:rsidRPr="00C21AE5" w:rsidRDefault="00000000" w:rsidP="0002556E">
            <w:pPr>
              <w:contextualSpacing/>
              <w:rPr>
                <w:b/>
                <w:bCs/>
              </w:rPr>
            </w:pPr>
            <w:r w:rsidRPr="00C21AE5">
              <w:rPr>
                <w:b/>
                <w:bCs/>
              </w:rPr>
              <w:t xml:space="preserve">YES </w:t>
            </w:r>
          </w:p>
          <w:p w14:paraId="3E679813" w14:textId="77777777" w:rsidR="002616B4" w:rsidRPr="00B91D9D" w:rsidRDefault="00000000" w:rsidP="0002556E">
            <w:pPr>
              <w:contextualSpacing/>
              <w:rPr>
                <w:i/>
                <w:iCs/>
              </w:rPr>
            </w:pPr>
            <w:r w:rsidRPr="003A5018">
              <w:t>(</w:t>
            </w:r>
            <w:proofErr w:type="gramStart"/>
            <w:r w:rsidRPr="00B91D9D">
              <w:rPr>
                <w:i/>
                <w:iCs/>
              </w:rPr>
              <w:t>all</w:t>
            </w:r>
            <w:proofErr w:type="gramEnd"/>
            <w:r w:rsidRPr="00B91D9D">
              <w:rPr>
                <w:i/>
                <w:iCs/>
              </w:rPr>
              <w:t xml:space="preserve"> University </w:t>
            </w:r>
          </w:p>
          <w:p w14:paraId="2741ED84" w14:textId="77777777" w:rsidR="002616B4" w:rsidRPr="003A5018" w:rsidRDefault="00000000" w:rsidP="0002556E">
            <w:pPr>
              <w:contextualSpacing/>
            </w:pPr>
            <w:proofErr w:type="gramStart"/>
            <w:r w:rsidRPr="00B91D9D">
              <w:rPr>
                <w:i/>
                <w:iCs/>
              </w:rPr>
              <w:t>Senators</w:t>
            </w:r>
            <w:proofErr w:type="gramEnd"/>
            <w:r w:rsidRPr="00B91D9D">
              <w:rPr>
                <w:i/>
                <w:iCs/>
              </w:rPr>
              <w:t xml:space="preserve"> vote</w:t>
            </w:r>
            <w:r w:rsidRPr="003A5018">
              <w:t xml:space="preserve">) </w:t>
            </w:r>
          </w:p>
        </w:tc>
      </w:tr>
    </w:tbl>
    <w:p w14:paraId="767CD8CF" w14:textId="78741FA2" w:rsidR="002616B4" w:rsidRPr="00B91D9D" w:rsidRDefault="00000000" w:rsidP="0002556E">
      <w:pPr>
        <w:spacing w:after="0" w:line="240" w:lineRule="auto"/>
        <w:contextualSpacing/>
        <w:rPr>
          <w:b/>
          <w:bCs/>
        </w:rPr>
      </w:pPr>
      <w:r w:rsidRPr="003A5018">
        <w:t xml:space="preserve"> </w:t>
      </w:r>
      <w:r w:rsidRPr="00B91D9D">
        <w:rPr>
          <w:b/>
          <w:bCs/>
        </w:rPr>
        <w:t>Upcoming Events</w:t>
      </w:r>
    </w:p>
    <w:tbl>
      <w:tblPr>
        <w:tblStyle w:val="TableGrid0"/>
        <w:tblW w:w="0" w:type="auto"/>
        <w:tblLook w:val="04A0" w:firstRow="1" w:lastRow="0" w:firstColumn="1" w:lastColumn="0" w:noHBand="0" w:noVBand="1"/>
      </w:tblPr>
      <w:tblGrid>
        <w:gridCol w:w="10790"/>
      </w:tblGrid>
      <w:tr w:rsidR="004C738C" w14:paraId="602A2015" w14:textId="77777777" w:rsidTr="004C738C">
        <w:tc>
          <w:tcPr>
            <w:tcW w:w="10790" w:type="dxa"/>
          </w:tcPr>
          <w:p w14:paraId="49FD9D56" w14:textId="3EF0A792" w:rsidR="004C738C" w:rsidRDefault="00C720BF" w:rsidP="00B91D9D">
            <w:pPr>
              <w:pStyle w:val="ListParagraph"/>
              <w:numPr>
                <w:ilvl w:val="0"/>
                <w:numId w:val="6"/>
              </w:numPr>
            </w:pPr>
            <w:r>
              <w:rPr>
                <w:b/>
                <w:bCs/>
              </w:rPr>
              <w:t>Standing</w:t>
            </w:r>
            <w:r w:rsidR="004C738C" w:rsidRPr="00B91D9D">
              <w:rPr>
                <w:b/>
                <w:bCs/>
              </w:rPr>
              <w:t xml:space="preserve"> Committee Meetings</w:t>
            </w:r>
            <w:r w:rsidR="004C738C">
              <w:t xml:space="preserve"> Friday, 3 November 2023, 2:00 pm</w:t>
            </w:r>
            <w:r w:rsidR="002C04BA">
              <w:t xml:space="preserve"> (</w:t>
            </w:r>
            <w:r w:rsidR="004C738C">
              <w:t xml:space="preserve">2:45 pm ECUS; </w:t>
            </w:r>
            <w:r w:rsidR="00B91D9D">
              <w:t xml:space="preserve">3:30 p.m. </w:t>
            </w:r>
            <w:r w:rsidR="004C738C">
              <w:t>ECUS-SCC</w:t>
            </w:r>
            <w:r w:rsidR="002C04BA">
              <w:t>)</w:t>
            </w:r>
          </w:p>
          <w:p w14:paraId="3AFEE87F" w14:textId="1EA82500" w:rsidR="004C738C" w:rsidRDefault="004C738C" w:rsidP="00B91D9D">
            <w:pPr>
              <w:pStyle w:val="ListParagraph"/>
              <w:numPr>
                <w:ilvl w:val="0"/>
                <w:numId w:val="6"/>
              </w:numPr>
            </w:pPr>
            <w:r w:rsidRPr="00B91D9D">
              <w:rPr>
                <w:b/>
                <w:bCs/>
              </w:rPr>
              <w:t>University Senate Meeting</w:t>
            </w:r>
            <w:r>
              <w:t xml:space="preserve"> Friday, 17 November 2023, 3:30 pm Arts &amp; Sciences 272</w:t>
            </w:r>
          </w:p>
        </w:tc>
      </w:tr>
    </w:tbl>
    <w:p w14:paraId="65BAC9FE" w14:textId="77777777" w:rsidR="00B32D89" w:rsidRPr="003A5018" w:rsidRDefault="00B32D89" w:rsidP="004C738C">
      <w:pPr>
        <w:spacing w:after="0" w:line="240" w:lineRule="auto"/>
        <w:contextualSpacing/>
      </w:pPr>
    </w:p>
    <w:sectPr w:rsidR="00B32D89" w:rsidRPr="003A5018" w:rsidSect="008C174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0F80" w14:textId="77777777" w:rsidR="008415A7" w:rsidRDefault="008415A7" w:rsidP="008C1748">
      <w:pPr>
        <w:spacing w:after="0" w:line="240" w:lineRule="auto"/>
      </w:pPr>
      <w:r>
        <w:separator/>
      </w:r>
    </w:p>
  </w:endnote>
  <w:endnote w:type="continuationSeparator" w:id="0">
    <w:p w14:paraId="71C507E5" w14:textId="77777777" w:rsidR="008415A7" w:rsidRDefault="008415A7" w:rsidP="008C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B1EA" w14:textId="77777777" w:rsidR="008415A7" w:rsidRDefault="008415A7" w:rsidP="008C1748">
      <w:pPr>
        <w:spacing w:after="0" w:line="240" w:lineRule="auto"/>
      </w:pPr>
      <w:r>
        <w:separator/>
      </w:r>
    </w:p>
  </w:footnote>
  <w:footnote w:type="continuationSeparator" w:id="0">
    <w:p w14:paraId="6BF16E87" w14:textId="77777777" w:rsidR="008415A7" w:rsidRDefault="008415A7" w:rsidP="008C1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250D5"/>
    <w:multiLevelType w:val="hybridMultilevel"/>
    <w:tmpl w:val="45482772"/>
    <w:lvl w:ilvl="0" w:tplc="9F9828CE">
      <w:start w:val="1"/>
      <w:numFmt w:val="decimal"/>
      <w:lvlText w:val="%1."/>
      <w:lvlJc w:val="left"/>
      <w:pPr>
        <w:ind w:left="405" w:hanging="360"/>
      </w:pPr>
      <w:rPr>
        <w:rFonts w:hint="default"/>
        <w:b w:val="0"/>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376970C4"/>
    <w:multiLevelType w:val="hybridMultilevel"/>
    <w:tmpl w:val="B63EDA10"/>
    <w:lvl w:ilvl="0" w:tplc="5052CDCA">
      <w:start w:val="1"/>
      <w:numFmt w:val="lowerRoman"/>
      <w:lvlText w:val="%1."/>
      <w:lvlJc w:val="left"/>
      <w:pPr>
        <w:ind w:left="1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AA41FC">
      <w:start w:val="1"/>
      <w:numFmt w:val="lowerLetter"/>
      <w:lvlText w:val="%2"/>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28A2F6">
      <w:start w:val="1"/>
      <w:numFmt w:val="lowerRoman"/>
      <w:lvlText w:val="%3"/>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0C5638">
      <w:start w:val="1"/>
      <w:numFmt w:val="decimal"/>
      <w:lvlText w:val="%4"/>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4A73D2">
      <w:start w:val="1"/>
      <w:numFmt w:val="lowerLetter"/>
      <w:lvlText w:val="%5"/>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6487BA">
      <w:start w:val="1"/>
      <w:numFmt w:val="lowerRoman"/>
      <w:lvlText w:val="%6"/>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B6D90C">
      <w:start w:val="1"/>
      <w:numFmt w:val="decimal"/>
      <w:lvlText w:val="%7"/>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96C542">
      <w:start w:val="1"/>
      <w:numFmt w:val="lowerLetter"/>
      <w:lvlText w:val="%8"/>
      <w:lvlJc w:val="left"/>
      <w:pPr>
        <w:ind w:left="6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C4671A">
      <w:start w:val="1"/>
      <w:numFmt w:val="lowerRoman"/>
      <w:lvlText w:val="%9"/>
      <w:lvlJc w:val="left"/>
      <w:pPr>
        <w:ind w:left="7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37231C"/>
    <w:multiLevelType w:val="hybridMultilevel"/>
    <w:tmpl w:val="2CCE1E96"/>
    <w:lvl w:ilvl="0" w:tplc="E5DCAF14">
      <w:start w:val="1"/>
      <w:numFmt w:val="decimal"/>
      <w:lvlText w:val="%1."/>
      <w:lvlJc w:val="left"/>
      <w:pPr>
        <w:ind w:left="720" w:hanging="360"/>
      </w:pPr>
      <w:rPr>
        <w:rFonts w:hint="default"/>
        <w:b w:val="0"/>
        <w:bCs w:val="0"/>
      </w:rPr>
    </w:lvl>
    <w:lvl w:ilvl="1" w:tplc="765E6F94">
      <w:start w:val="1"/>
      <w:numFmt w:val="lowerLetter"/>
      <w:lvlText w:val="%2."/>
      <w:lvlJc w:val="left"/>
      <w:pPr>
        <w:ind w:left="1440" w:hanging="360"/>
      </w:pPr>
      <w:rPr>
        <w:b w:val="0"/>
        <w:bCs w:val="0"/>
      </w:rPr>
    </w:lvl>
    <w:lvl w:ilvl="2" w:tplc="C7E8AF0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B67A9"/>
    <w:multiLevelType w:val="hybridMultilevel"/>
    <w:tmpl w:val="2B304700"/>
    <w:lvl w:ilvl="0" w:tplc="171CEDE0">
      <w:start w:val="3"/>
      <w:numFmt w:val="decimal"/>
      <w:lvlText w:val="%1."/>
      <w:lvlJc w:val="left"/>
      <w:pPr>
        <w:ind w:left="7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2565AFE">
      <w:start w:val="1"/>
      <w:numFmt w:val="lowerLetter"/>
      <w:lvlText w:val="%2"/>
      <w:lvlJc w:val="left"/>
      <w:pPr>
        <w:ind w:left="19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DAF68E">
      <w:start w:val="1"/>
      <w:numFmt w:val="lowerRoman"/>
      <w:lvlText w:val="%3"/>
      <w:lvlJc w:val="left"/>
      <w:pPr>
        <w:ind w:left="26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9C8B9E">
      <w:start w:val="1"/>
      <w:numFmt w:val="decimal"/>
      <w:lvlText w:val="%4"/>
      <w:lvlJc w:val="left"/>
      <w:pPr>
        <w:ind w:left="33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88A04CA">
      <w:start w:val="1"/>
      <w:numFmt w:val="lowerLetter"/>
      <w:lvlText w:val="%5"/>
      <w:lvlJc w:val="left"/>
      <w:pPr>
        <w:ind w:left="40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F05AE6">
      <w:start w:val="1"/>
      <w:numFmt w:val="lowerRoman"/>
      <w:lvlText w:val="%6"/>
      <w:lvlJc w:val="left"/>
      <w:pPr>
        <w:ind w:left="4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4CAADBC">
      <w:start w:val="1"/>
      <w:numFmt w:val="decimal"/>
      <w:lvlText w:val="%7"/>
      <w:lvlJc w:val="left"/>
      <w:pPr>
        <w:ind w:left="55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9023C4">
      <w:start w:val="1"/>
      <w:numFmt w:val="lowerLetter"/>
      <w:lvlText w:val="%8"/>
      <w:lvlJc w:val="left"/>
      <w:pPr>
        <w:ind w:left="62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F3C26AE">
      <w:start w:val="1"/>
      <w:numFmt w:val="lowerRoman"/>
      <w:lvlText w:val="%9"/>
      <w:lvlJc w:val="left"/>
      <w:pPr>
        <w:ind w:left="69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D61717"/>
    <w:multiLevelType w:val="hybridMultilevel"/>
    <w:tmpl w:val="184C91C8"/>
    <w:lvl w:ilvl="0" w:tplc="4096439A">
      <w:start w:val="4"/>
      <w:numFmt w:val="lowerRoman"/>
      <w:lvlText w:val="%1."/>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6A0432">
      <w:start w:val="1"/>
      <w:numFmt w:val="lowerLetter"/>
      <w:lvlText w:val="%2"/>
      <w:lvlJc w:val="left"/>
      <w:pPr>
        <w:ind w:left="2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CC2C6C">
      <w:start w:val="1"/>
      <w:numFmt w:val="lowerRoman"/>
      <w:lvlText w:val="%3"/>
      <w:lvlJc w:val="left"/>
      <w:pPr>
        <w:ind w:left="3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EC1E7C">
      <w:start w:val="1"/>
      <w:numFmt w:val="decimal"/>
      <w:lvlText w:val="%4"/>
      <w:lvlJc w:val="left"/>
      <w:pPr>
        <w:ind w:left="3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783142">
      <w:start w:val="1"/>
      <w:numFmt w:val="lowerLetter"/>
      <w:lvlText w:val="%5"/>
      <w:lvlJc w:val="left"/>
      <w:pPr>
        <w:ind w:left="4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D016CC">
      <w:start w:val="1"/>
      <w:numFmt w:val="lowerRoman"/>
      <w:lvlText w:val="%6"/>
      <w:lvlJc w:val="left"/>
      <w:pPr>
        <w:ind w:left="5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CEA5E">
      <w:start w:val="1"/>
      <w:numFmt w:val="decimal"/>
      <w:lvlText w:val="%7"/>
      <w:lvlJc w:val="left"/>
      <w:pPr>
        <w:ind w:left="5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7C2112">
      <w:start w:val="1"/>
      <w:numFmt w:val="lowerLetter"/>
      <w:lvlText w:val="%8"/>
      <w:lvlJc w:val="left"/>
      <w:pPr>
        <w:ind w:left="6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CE7F06">
      <w:start w:val="1"/>
      <w:numFmt w:val="lowerRoman"/>
      <w:lvlText w:val="%9"/>
      <w:lvlJc w:val="left"/>
      <w:pPr>
        <w:ind w:left="7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6D0516"/>
    <w:multiLevelType w:val="hybridMultilevel"/>
    <w:tmpl w:val="8AC4F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981479">
    <w:abstractNumId w:val="3"/>
  </w:num>
  <w:num w:numId="2" w16cid:durableId="1631088727">
    <w:abstractNumId w:val="4"/>
  </w:num>
  <w:num w:numId="3" w16cid:durableId="118576891">
    <w:abstractNumId w:val="1"/>
  </w:num>
  <w:num w:numId="4" w16cid:durableId="1521697506">
    <w:abstractNumId w:val="0"/>
  </w:num>
  <w:num w:numId="5" w16cid:durableId="984702745">
    <w:abstractNumId w:val="2"/>
  </w:num>
  <w:num w:numId="6" w16cid:durableId="1873616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B4"/>
    <w:rsid w:val="0002556E"/>
    <w:rsid w:val="002616B4"/>
    <w:rsid w:val="002C04BA"/>
    <w:rsid w:val="003A5018"/>
    <w:rsid w:val="004C738C"/>
    <w:rsid w:val="008415A7"/>
    <w:rsid w:val="008C1748"/>
    <w:rsid w:val="008F4980"/>
    <w:rsid w:val="00B32D89"/>
    <w:rsid w:val="00B91D9D"/>
    <w:rsid w:val="00B96D09"/>
    <w:rsid w:val="00C21AE5"/>
    <w:rsid w:val="00C720BF"/>
    <w:rsid w:val="00CF20C3"/>
    <w:rsid w:val="00FF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27BD"/>
  <w15:docId w15:val="{F0BE0BC1-DF28-4827-B915-C1738C4E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1748"/>
    <w:pPr>
      <w:ind w:left="720"/>
      <w:contextualSpacing/>
    </w:pPr>
  </w:style>
  <w:style w:type="paragraph" w:styleId="Header">
    <w:name w:val="header"/>
    <w:basedOn w:val="Normal"/>
    <w:link w:val="HeaderChar"/>
    <w:uiPriority w:val="99"/>
    <w:unhideWhenUsed/>
    <w:rsid w:val="008C1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748"/>
    <w:rPr>
      <w:rFonts w:ascii="Calibri" w:eastAsia="Calibri" w:hAnsi="Calibri" w:cs="Calibri"/>
      <w:color w:val="000000"/>
    </w:rPr>
  </w:style>
  <w:style w:type="paragraph" w:styleId="Footer">
    <w:name w:val="footer"/>
    <w:basedOn w:val="Normal"/>
    <w:link w:val="FooterChar"/>
    <w:uiPriority w:val="99"/>
    <w:unhideWhenUsed/>
    <w:rsid w:val="008C1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748"/>
    <w:rPr>
      <w:rFonts w:ascii="Calibri" w:eastAsia="Calibri" w:hAnsi="Calibri" w:cs="Calibri"/>
      <w:color w:val="000000"/>
    </w:rPr>
  </w:style>
  <w:style w:type="character" w:styleId="Hyperlink">
    <w:name w:val="Hyperlink"/>
    <w:basedOn w:val="DefaultParagraphFont"/>
    <w:uiPriority w:val="99"/>
    <w:unhideWhenUsed/>
    <w:rsid w:val="003A5018"/>
    <w:rPr>
      <w:color w:val="0563C1" w:themeColor="hyperlink"/>
      <w:u w:val="single"/>
    </w:rPr>
  </w:style>
  <w:style w:type="table" w:styleId="TableGrid0">
    <w:name w:val="Table Grid"/>
    <w:basedOn w:val="TableNormal"/>
    <w:uiPriority w:val="39"/>
    <w:rsid w:val="004C7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nate.gcsu.edu/" TargetMode="External"/><Relationship Id="rId3" Type="http://schemas.openxmlformats.org/officeDocument/2006/relationships/settings" Target="settings.xml"/><Relationship Id="rId7" Type="http://schemas.openxmlformats.org/officeDocument/2006/relationships/hyperlink" Target="https://senate.gc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nate.gcsu.edu/motions/student-academic-dishonesty-policy-revision-1006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329</Words>
  <Characters>1966</Characters>
  <Application>Microsoft Office Word</Application>
  <DocSecurity>0</DocSecurity>
  <Lines>59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Alex.Blazer@gcsu.edu</dc:creator>
  <cp:keywords/>
  <cp:lastModifiedBy>Alex Blazer</cp:lastModifiedBy>
  <cp:revision>11</cp:revision>
  <dcterms:created xsi:type="dcterms:W3CDTF">2023-10-13T21:20:00Z</dcterms:created>
  <dcterms:modified xsi:type="dcterms:W3CDTF">2023-10-13T22:07:00Z</dcterms:modified>
</cp:coreProperties>
</file>