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36853" w14:textId="686C75AC" w:rsidR="0071470B" w:rsidRPr="00573BA3" w:rsidRDefault="003D364C" w:rsidP="00A55E3F">
      <w:pPr>
        <w:jc w:val="center"/>
      </w:pPr>
      <w:r w:rsidRPr="00573BA3">
        <w:rPr>
          <w:b/>
          <w:bCs/>
        </w:rPr>
        <w:t>Faculty Affairs Policy</w:t>
      </w:r>
      <w:r w:rsidR="0071470B" w:rsidRPr="00573BA3">
        <w:rPr>
          <w:b/>
          <w:bCs/>
        </w:rPr>
        <w:t xml:space="preserve"> Committee Annual Report</w:t>
      </w:r>
      <w:r w:rsidRPr="00573BA3">
        <w:rPr>
          <w:b/>
          <w:bCs/>
        </w:rPr>
        <w:t xml:space="preserve"> 2023/2024</w:t>
      </w:r>
    </w:p>
    <w:p w14:paraId="50FD7CBA" w14:textId="77777777" w:rsidR="003D364C" w:rsidRPr="00573BA3" w:rsidRDefault="003D364C" w:rsidP="00865BBB">
      <w:pPr>
        <w:rPr>
          <w:b/>
          <w:bCs/>
        </w:rPr>
      </w:pPr>
    </w:p>
    <w:p w14:paraId="25B0FF32" w14:textId="23B3950C" w:rsidR="00865BBB" w:rsidRPr="00573BA3" w:rsidRDefault="00865BBB" w:rsidP="00865BBB">
      <w:r w:rsidRPr="00573BA3">
        <w:rPr>
          <w:b/>
          <w:bCs/>
        </w:rPr>
        <w:t>Committee Name:</w:t>
      </w:r>
      <w:r w:rsidR="003D364C" w:rsidRPr="00573BA3">
        <w:rPr>
          <w:b/>
          <w:bCs/>
        </w:rPr>
        <w:t xml:space="preserve"> </w:t>
      </w:r>
      <w:r w:rsidR="003D364C" w:rsidRPr="00573BA3">
        <w:t>Faculty Affairs Policy Committee</w:t>
      </w:r>
    </w:p>
    <w:p w14:paraId="123AF23D" w14:textId="77777777" w:rsidR="00865BBB" w:rsidRPr="00573BA3" w:rsidRDefault="00865BBB" w:rsidP="00865BBB">
      <w:r w:rsidRPr="00573BA3">
        <w:rPr>
          <w:b/>
          <w:bCs/>
        </w:rPr>
        <w:t> </w:t>
      </w:r>
    </w:p>
    <w:p w14:paraId="7A6BD62A" w14:textId="0FA2800C" w:rsidR="00865BBB" w:rsidRPr="00573BA3" w:rsidRDefault="00865BBB" w:rsidP="00865BBB">
      <w:r w:rsidRPr="00573BA3">
        <w:rPr>
          <w:b/>
          <w:bCs/>
        </w:rPr>
        <w:t>Academic Year:</w:t>
      </w:r>
      <w:r w:rsidR="003D364C" w:rsidRPr="00573BA3">
        <w:rPr>
          <w:b/>
          <w:bCs/>
        </w:rPr>
        <w:t xml:space="preserve"> </w:t>
      </w:r>
      <w:r w:rsidR="003D364C" w:rsidRPr="00573BA3">
        <w:t>2023/2024</w:t>
      </w:r>
    </w:p>
    <w:p w14:paraId="1603F874" w14:textId="77777777" w:rsidR="00865BBB" w:rsidRPr="00573BA3" w:rsidRDefault="00865BBB" w:rsidP="00865BBB">
      <w:r w:rsidRPr="00573BA3">
        <w:rPr>
          <w:b/>
          <w:bCs/>
        </w:rPr>
        <w:t> </w:t>
      </w:r>
    </w:p>
    <w:p w14:paraId="315F42E6" w14:textId="77777777" w:rsidR="00865BBB" w:rsidRPr="00573BA3" w:rsidRDefault="00865BBB" w:rsidP="00865BBB">
      <w:r w:rsidRPr="00573BA3">
        <w:rPr>
          <w:b/>
          <w:bCs/>
        </w:rPr>
        <w:t>Committee Charge:</w:t>
      </w:r>
    </w:p>
    <w:p w14:paraId="37D8B684" w14:textId="77777777" w:rsidR="003D364C" w:rsidRPr="003D364C" w:rsidRDefault="003D364C" w:rsidP="003D364C">
      <w:pPr>
        <w:numPr>
          <w:ilvl w:val="0"/>
          <w:numId w:val="1"/>
        </w:numPr>
      </w:pPr>
      <w:r w:rsidRPr="003D364C">
        <w:rPr>
          <w:b/>
          <w:bCs/>
        </w:rPr>
        <w:t>V.Section2.C.3.a Membership.</w:t>
      </w:r>
      <w:r w:rsidRPr="003D364C">
        <w:t> The Faculty Affairs Policy Committee shall have no fewer than eleven (11) and no more than thirteen (13) members distributed as follows: no fewer than nine (9) and no more than eleven (11)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p>
    <w:p w14:paraId="0FDEB1C9" w14:textId="77777777" w:rsidR="003D364C" w:rsidRPr="003D364C" w:rsidRDefault="003D364C" w:rsidP="003D364C">
      <w:pPr>
        <w:numPr>
          <w:ilvl w:val="0"/>
          <w:numId w:val="1"/>
        </w:numPr>
      </w:pPr>
      <w:r w:rsidRPr="003D364C">
        <w:rPr>
          <w:b/>
          <w:bCs/>
        </w:rPr>
        <w:t>V.Section2.C.3.b Scope.</w:t>
      </w:r>
      <w:r w:rsidRPr="003D364C">
        <w:t> The Faculty Affairs Policy Committee shall review and recommend for or against policy relating to faculty welfare (e.g. authorities, responsibilities, rights, recognitions, privileges, and opportunities), which includes, but is not limited to, policies relating to academic freedom, workload, compensation, recruitment, retention, promotion, tenure, recognitions, development, and instructional support. This committee also provides advice, as appropriate, on procedural matters that affect the welfare of the faculty.</w:t>
      </w:r>
    </w:p>
    <w:p w14:paraId="67920B7C" w14:textId="77777777" w:rsidR="00865BBB" w:rsidRPr="00573BA3" w:rsidRDefault="00865BBB" w:rsidP="00865BBB">
      <w:r w:rsidRPr="00573BA3">
        <w:rPr>
          <w:b/>
          <w:bCs/>
        </w:rPr>
        <w:t> </w:t>
      </w:r>
    </w:p>
    <w:p w14:paraId="68CF71B4" w14:textId="77777777" w:rsidR="00865BBB" w:rsidRPr="00573BA3" w:rsidRDefault="00865BBB" w:rsidP="00865BBB">
      <w:r w:rsidRPr="00573BA3">
        <w:rPr>
          <w:b/>
          <w:bCs/>
        </w:rPr>
        <w:t>Committee Calendar:</w:t>
      </w:r>
    </w:p>
    <w:p w14:paraId="794A088A" w14:textId="15646FA2" w:rsidR="00865BBB" w:rsidRPr="00573BA3" w:rsidRDefault="003D364C" w:rsidP="003D364C">
      <w:pPr>
        <w:ind w:left="720"/>
        <w:rPr>
          <w:i/>
          <w:iCs/>
        </w:rPr>
      </w:pPr>
      <w:r w:rsidRPr="00573BA3">
        <w:t>8/14, 9/1, 10/6, 11/3, 2/9, 4/5</w:t>
      </w:r>
      <w:r w:rsidR="00865BBB" w:rsidRPr="00573BA3">
        <w:rPr>
          <w:i/>
          <w:iCs/>
        </w:rPr>
        <w:t xml:space="preserve">. </w:t>
      </w:r>
    </w:p>
    <w:p w14:paraId="28368388" w14:textId="77777777" w:rsidR="00865BBB" w:rsidRPr="00573BA3" w:rsidRDefault="00865BBB" w:rsidP="00865BBB">
      <w:r w:rsidRPr="00573BA3">
        <w:rPr>
          <w:b/>
          <w:bCs/>
        </w:rPr>
        <w:t> </w:t>
      </w:r>
    </w:p>
    <w:p w14:paraId="4E60B360" w14:textId="77777777" w:rsidR="00865BBB" w:rsidRPr="00573BA3" w:rsidRDefault="00865BBB" w:rsidP="00865BBB">
      <w:r w:rsidRPr="00573BA3">
        <w:rPr>
          <w:b/>
          <w:bCs/>
        </w:rPr>
        <w:t>Executive Summary</w:t>
      </w:r>
      <w:r w:rsidRPr="00573BA3">
        <w:t>:</w:t>
      </w:r>
    </w:p>
    <w:p w14:paraId="6ECE41D7" w14:textId="732CE519" w:rsidR="00865BBB" w:rsidRPr="00573BA3" w:rsidRDefault="007B112C" w:rsidP="00865BBB">
      <w:pPr>
        <w:rPr>
          <w:iCs/>
        </w:rPr>
      </w:pPr>
      <w:r w:rsidRPr="00573BA3">
        <w:rPr>
          <w:iCs/>
        </w:rPr>
        <w:t>The committee tackled several issues of concern this year, but the following items stimulated the most discussion:</w:t>
      </w:r>
    </w:p>
    <w:p w14:paraId="33BCF0B5" w14:textId="547F9D64" w:rsidR="007B112C" w:rsidRPr="00573BA3" w:rsidRDefault="007B112C" w:rsidP="007B112C">
      <w:pPr>
        <w:pStyle w:val="ListParagraph"/>
        <w:numPr>
          <w:ilvl w:val="0"/>
          <w:numId w:val="2"/>
        </w:numPr>
        <w:rPr>
          <w:iCs/>
        </w:rPr>
      </w:pPr>
      <w:proofErr w:type="spellStart"/>
      <w:r w:rsidRPr="00573BA3">
        <w:rPr>
          <w:iCs/>
        </w:rPr>
        <w:t>FAPC</w:t>
      </w:r>
      <w:proofErr w:type="spellEnd"/>
      <w:r w:rsidRPr="00573BA3">
        <w:rPr>
          <w:iCs/>
        </w:rPr>
        <w:t xml:space="preserve"> worked with ECUS and the Provost’s Office to </w:t>
      </w:r>
      <w:r w:rsidRPr="00573BA3">
        <w:rPr>
          <w:b/>
          <w:bCs/>
          <w:iCs/>
        </w:rPr>
        <w:t xml:space="preserve">modify the current </w:t>
      </w:r>
      <w:proofErr w:type="spellStart"/>
      <w:r w:rsidRPr="00573BA3">
        <w:rPr>
          <w:b/>
          <w:bCs/>
          <w:iCs/>
        </w:rPr>
        <w:t>SRIS</w:t>
      </w:r>
      <w:proofErr w:type="spellEnd"/>
      <w:r w:rsidRPr="00573BA3">
        <w:rPr>
          <w:b/>
          <w:bCs/>
          <w:iCs/>
        </w:rPr>
        <w:t xml:space="preserve"> and </w:t>
      </w:r>
      <w:proofErr w:type="spellStart"/>
      <w:r w:rsidRPr="00573BA3">
        <w:rPr>
          <w:b/>
          <w:bCs/>
          <w:iCs/>
        </w:rPr>
        <w:t>IFR</w:t>
      </w:r>
      <w:proofErr w:type="spellEnd"/>
      <w:r w:rsidRPr="00573BA3">
        <w:rPr>
          <w:b/>
          <w:bCs/>
          <w:iCs/>
        </w:rPr>
        <w:t xml:space="preserve"> policy</w:t>
      </w:r>
      <w:r w:rsidRPr="00573BA3">
        <w:rPr>
          <w:iCs/>
        </w:rPr>
        <w:t xml:space="preserve"> regarding </w:t>
      </w:r>
      <w:proofErr w:type="spellStart"/>
      <w:r w:rsidRPr="00573BA3">
        <w:rPr>
          <w:iCs/>
        </w:rPr>
        <w:t>SRIS</w:t>
      </w:r>
      <w:proofErr w:type="spellEnd"/>
      <w:r w:rsidRPr="00573BA3">
        <w:rPr>
          <w:iCs/>
        </w:rPr>
        <w:t xml:space="preserve"> to include all courses taught by instructors instead of only two. We introduced motions that were approved by </w:t>
      </w:r>
      <w:r w:rsidR="00F35F88">
        <w:rPr>
          <w:iCs/>
        </w:rPr>
        <w:t>University Senate (</w:t>
      </w:r>
      <w:r w:rsidRPr="00573BA3">
        <w:rPr>
          <w:iCs/>
        </w:rPr>
        <w:t>US</w:t>
      </w:r>
      <w:r w:rsidR="00F35F88">
        <w:rPr>
          <w:iCs/>
        </w:rPr>
        <w:t>)</w:t>
      </w:r>
      <w:r w:rsidRPr="00573BA3">
        <w:rPr>
          <w:iCs/>
        </w:rPr>
        <w:t xml:space="preserve"> on these items in </w:t>
      </w:r>
      <w:r w:rsidR="00F35F88">
        <w:rPr>
          <w:iCs/>
        </w:rPr>
        <w:t>February</w:t>
      </w:r>
      <w:r w:rsidRPr="00573BA3">
        <w:rPr>
          <w:iCs/>
        </w:rPr>
        <w:t xml:space="preserve"> 2024. These policies brought us into alignment with the policies and procedures used by other USG institutions as well </w:t>
      </w:r>
      <w:r w:rsidR="00F35F88" w:rsidRPr="00573BA3">
        <w:rPr>
          <w:iCs/>
        </w:rPr>
        <w:t>as</w:t>
      </w:r>
      <w:r w:rsidRPr="00573BA3">
        <w:rPr>
          <w:iCs/>
        </w:rPr>
        <w:t xml:space="preserve"> emphasized the importance of soliciting feedback from student voices in evaluating instructional quality. However, it was heavily discussed that the limitations of using student evaluations as the sole measure of teaching effectiveness be communicated with chairs and others in supervisory positions and, with the endorsement of the Provost, a communication strategy will be put into place instructing chairs/supervisors on the relevant </w:t>
      </w:r>
      <w:r w:rsidR="0018199F" w:rsidRPr="00573BA3">
        <w:rPr>
          <w:iCs/>
        </w:rPr>
        <w:t xml:space="preserve">existing </w:t>
      </w:r>
      <w:r w:rsidRPr="00573BA3">
        <w:rPr>
          <w:iCs/>
        </w:rPr>
        <w:t>policies on how to measure teaching effectiveness</w:t>
      </w:r>
      <w:r w:rsidR="0018199F" w:rsidRPr="00573BA3">
        <w:rPr>
          <w:iCs/>
        </w:rPr>
        <w:t xml:space="preserve"> using additional measures outside of </w:t>
      </w:r>
      <w:proofErr w:type="spellStart"/>
      <w:r w:rsidR="0018199F" w:rsidRPr="00573BA3">
        <w:rPr>
          <w:iCs/>
        </w:rPr>
        <w:t>SRIS</w:t>
      </w:r>
      <w:proofErr w:type="spellEnd"/>
      <w:r w:rsidR="0018199F" w:rsidRPr="00573BA3">
        <w:rPr>
          <w:iCs/>
        </w:rPr>
        <w:t>.</w:t>
      </w:r>
    </w:p>
    <w:p w14:paraId="46191C9B" w14:textId="77777777" w:rsidR="006712BF" w:rsidRPr="00573BA3" w:rsidRDefault="0018199F" w:rsidP="007B112C">
      <w:pPr>
        <w:pStyle w:val="ListParagraph"/>
        <w:numPr>
          <w:ilvl w:val="0"/>
          <w:numId w:val="2"/>
        </w:numPr>
        <w:rPr>
          <w:iCs/>
        </w:rPr>
      </w:pPr>
      <w:proofErr w:type="spellStart"/>
      <w:r w:rsidRPr="00573BA3">
        <w:rPr>
          <w:iCs/>
        </w:rPr>
        <w:t>FAPC</w:t>
      </w:r>
      <w:proofErr w:type="spellEnd"/>
      <w:r w:rsidRPr="00573BA3">
        <w:rPr>
          <w:iCs/>
        </w:rPr>
        <w:t xml:space="preserve"> discussed the </w:t>
      </w:r>
      <w:r w:rsidRPr="00573BA3">
        <w:rPr>
          <w:b/>
          <w:bCs/>
          <w:iCs/>
        </w:rPr>
        <w:t>Emeritus Policy</w:t>
      </w:r>
      <w:r w:rsidRPr="00573BA3">
        <w:rPr>
          <w:iCs/>
        </w:rPr>
        <w:t xml:space="preserve"> alongside ECUS and the Office of the Provost. In a version of the current policy recorded solely in the Senate database, a grandfather clause existed allowing applicants to circumvent their home department and appeal straight to the Provost’s office if they wished to apply for Emeritus Status outside of the set policy timeline of 30 days prior to retirement date or 30 days into the following academic term following retirement. However, upon review of the policy as available to the public in the manual online, that clause does not exist, therefore </w:t>
      </w:r>
      <w:r w:rsidR="006712BF" w:rsidRPr="00573BA3">
        <w:rPr>
          <w:iCs/>
        </w:rPr>
        <w:t xml:space="preserve">is not a concern, though, if it should appear again, </w:t>
      </w:r>
      <w:proofErr w:type="spellStart"/>
      <w:r w:rsidR="006712BF" w:rsidRPr="00573BA3">
        <w:rPr>
          <w:iCs/>
        </w:rPr>
        <w:t>FAPC</w:t>
      </w:r>
      <w:proofErr w:type="spellEnd"/>
      <w:r w:rsidR="006712BF" w:rsidRPr="00573BA3">
        <w:rPr>
          <w:iCs/>
        </w:rPr>
        <w:t xml:space="preserve"> agreed that all applications should start in the applicant’s home department. </w:t>
      </w:r>
    </w:p>
    <w:p w14:paraId="79C0B862" w14:textId="6F84279D" w:rsidR="00865BBB" w:rsidRPr="00573BA3" w:rsidRDefault="006712BF" w:rsidP="00865BBB">
      <w:pPr>
        <w:pStyle w:val="ListParagraph"/>
        <w:numPr>
          <w:ilvl w:val="1"/>
          <w:numId w:val="2"/>
        </w:numPr>
        <w:rPr>
          <w:iCs/>
        </w:rPr>
      </w:pPr>
      <w:proofErr w:type="spellStart"/>
      <w:r w:rsidRPr="00573BA3">
        <w:rPr>
          <w:iCs/>
        </w:rPr>
        <w:t>FAPC</w:t>
      </w:r>
      <w:proofErr w:type="spellEnd"/>
      <w:r w:rsidRPr="00573BA3">
        <w:rPr>
          <w:iCs/>
        </w:rPr>
        <w:t xml:space="preserve"> did, however, disagree with the arbitrary timeline established in the current policy, arguing, instead, that it should be left to the home department to determine if an </w:t>
      </w:r>
      <w:r w:rsidRPr="00573BA3">
        <w:rPr>
          <w:iCs/>
        </w:rPr>
        <w:lastRenderedPageBreak/>
        <w:t>applicant has met the high standards for being granted Emeritus Status and moving the applications up through the chain of command.</w:t>
      </w:r>
    </w:p>
    <w:p w14:paraId="1D175D41" w14:textId="59297B6E" w:rsidR="006712BF" w:rsidRPr="00573BA3" w:rsidRDefault="006712BF" w:rsidP="006712BF">
      <w:pPr>
        <w:pStyle w:val="ListParagraph"/>
        <w:numPr>
          <w:ilvl w:val="0"/>
          <w:numId w:val="2"/>
        </w:numPr>
        <w:rPr>
          <w:iCs/>
        </w:rPr>
      </w:pPr>
      <w:proofErr w:type="spellStart"/>
      <w:r w:rsidRPr="00573BA3">
        <w:rPr>
          <w:iCs/>
        </w:rPr>
        <w:t>FAPC</w:t>
      </w:r>
      <w:proofErr w:type="spellEnd"/>
      <w:r w:rsidRPr="00573BA3">
        <w:rPr>
          <w:iCs/>
        </w:rPr>
        <w:t xml:space="preserve"> worked with </w:t>
      </w:r>
      <w:proofErr w:type="spellStart"/>
      <w:r w:rsidRPr="00573BA3">
        <w:rPr>
          <w:iCs/>
        </w:rPr>
        <w:t>RPIPC</w:t>
      </w:r>
      <w:proofErr w:type="spellEnd"/>
      <w:r w:rsidRPr="00573BA3">
        <w:rPr>
          <w:iCs/>
        </w:rPr>
        <w:t xml:space="preserve"> on the </w:t>
      </w:r>
      <w:r w:rsidRPr="00573BA3">
        <w:rPr>
          <w:b/>
          <w:bCs/>
          <w:iCs/>
        </w:rPr>
        <w:t>Amorous Relationship Policy</w:t>
      </w:r>
      <w:r w:rsidRPr="00573BA3">
        <w:rPr>
          <w:iCs/>
        </w:rPr>
        <w:t xml:space="preserve"> implementation</w:t>
      </w:r>
      <w:r w:rsidR="002878C3" w:rsidRPr="00573BA3">
        <w:rPr>
          <w:iCs/>
        </w:rPr>
        <w:t xml:space="preserve"> and </w:t>
      </w:r>
      <w:r w:rsidRPr="00573BA3">
        <w:rPr>
          <w:iCs/>
        </w:rPr>
        <w:t>interpretation. We encountered many stumbling blocks in our endeavors to work on this policy with HR, but thoroughly reviewed the policy as recorded in the policy manual as a committee. We concluded that i</w:t>
      </w:r>
      <w:r w:rsidRPr="00573BA3">
        <w:rPr>
          <w:iCs/>
        </w:rPr>
        <w:t>t reflects the “prohibits” wording of the USG policy and outlines ways to report violations (either self-report or by General Complaint Form)</w:t>
      </w:r>
      <w:r w:rsidRPr="00573BA3">
        <w:rPr>
          <w:iCs/>
        </w:rPr>
        <w:t xml:space="preserve">, therefore, the policy as written could be left </w:t>
      </w:r>
      <w:r w:rsidR="00F35F88" w:rsidRPr="00573BA3">
        <w:rPr>
          <w:iCs/>
        </w:rPr>
        <w:t>intact</w:t>
      </w:r>
      <w:r w:rsidRPr="00573BA3">
        <w:rPr>
          <w:iCs/>
        </w:rPr>
        <w:t xml:space="preserve"> as long as HR believes it is sufficient. </w:t>
      </w:r>
    </w:p>
    <w:p w14:paraId="72BDCEEB" w14:textId="2998590B" w:rsidR="006712BF" w:rsidRPr="00573BA3" w:rsidRDefault="006712BF" w:rsidP="006712BF">
      <w:pPr>
        <w:pStyle w:val="ListParagraph"/>
        <w:numPr>
          <w:ilvl w:val="0"/>
          <w:numId w:val="2"/>
        </w:numPr>
        <w:rPr>
          <w:iCs/>
        </w:rPr>
      </w:pPr>
      <w:proofErr w:type="spellStart"/>
      <w:r w:rsidRPr="00573BA3">
        <w:rPr>
          <w:iCs/>
        </w:rPr>
        <w:t>FAPC</w:t>
      </w:r>
      <w:proofErr w:type="spellEnd"/>
      <w:r w:rsidRPr="00573BA3">
        <w:rPr>
          <w:iCs/>
        </w:rPr>
        <w:t xml:space="preserve"> also passed along two informational items </w:t>
      </w:r>
      <w:r w:rsidR="002878C3" w:rsidRPr="00573BA3">
        <w:rPr>
          <w:iCs/>
        </w:rPr>
        <w:t xml:space="preserve">after thorough review </w:t>
      </w:r>
      <w:r w:rsidRPr="00573BA3">
        <w:rPr>
          <w:iCs/>
        </w:rPr>
        <w:t>to the US</w:t>
      </w:r>
      <w:r w:rsidR="002878C3" w:rsidRPr="00573BA3">
        <w:rPr>
          <w:iCs/>
        </w:rPr>
        <w:t xml:space="preserve"> on behalf of the Office of the Provost.</w:t>
      </w:r>
    </w:p>
    <w:p w14:paraId="7B4FAECE" w14:textId="48315076" w:rsidR="002878C3" w:rsidRPr="00573BA3" w:rsidRDefault="002878C3" w:rsidP="002878C3">
      <w:pPr>
        <w:pStyle w:val="ListParagraph"/>
        <w:numPr>
          <w:ilvl w:val="1"/>
          <w:numId w:val="2"/>
        </w:numPr>
        <w:spacing w:after="160" w:line="259" w:lineRule="auto"/>
      </w:pPr>
      <w:r w:rsidRPr="00573BA3">
        <w:t xml:space="preserve">The </w:t>
      </w:r>
      <w:r w:rsidRPr="00573BA3">
        <w:rPr>
          <w:b/>
        </w:rPr>
        <w:t>changes to the PTR policy</w:t>
      </w:r>
      <w:r w:rsidRPr="00573BA3">
        <w:t xml:space="preserve"> regarding the </w:t>
      </w:r>
      <w:r w:rsidRPr="00573BA3">
        <w:rPr>
          <w:b/>
        </w:rPr>
        <w:t>appeals process</w:t>
      </w:r>
      <w:r w:rsidRPr="00573BA3">
        <w:t xml:space="preserve"> faculty have in the case of an unfavorable PTR as well as an unfavorable PIP review</w:t>
      </w:r>
      <w:r w:rsidRPr="00573BA3">
        <w:t xml:space="preserve"> were made</w:t>
      </w:r>
      <w:r w:rsidRPr="00573BA3">
        <w:t xml:space="preserve"> by the USG</w:t>
      </w:r>
      <w:r w:rsidRPr="00573BA3">
        <w:t xml:space="preserve"> and reviewed by </w:t>
      </w:r>
      <w:proofErr w:type="spellStart"/>
      <w:r w:rsidRPr="00573BA3">
        <w:t>FAPC</w:t>
      </w:r>
      <w:proofErr w:type="spellEnd"/>
      <w:r w:rsidRPr="00573BA3">
        <w:t xml:space="preserve"> before being instated as policy</w:t>
      </w:r>
      <w:r w:rsidRPr="00573BA3">
        <w:t>.</w:t>
      </w:r>
    </w:p>
    <w:p w14:paraId="1BEC31F7" w14:textId="5490CDEB" w:rsidR="002878C3" w:rsidRPr="00573BA3" w:rsidRDefault="002878C3" w:rsidP="002878C3">
      <w:pPr>
        <w:pStyle w:val="ListParagraph"/>
        <w:numPr>
          <w:ilvl w:val="1"/>
          <w:numId w:val="2"/>
        </w:numPr>
        <w:spacing w:after="160" w:line="259" w:lineRule="auto"/>
      </w:pPr>
      <w:proofErr w:type="spellStart"/>
      <w:r w:rsidRPr="00573BA3">
        <w:t>FAPC</w:t>
      </w:r>
      <w:proofErr w:type="spellEnd"/>
      <w:r w:rsidRPr="00573BA3">
        <w:t xml:space="preserve"> reviewed the modifications to the </w:t>
      </w:r>
      <w:r w:rsidRPr="00573BA3">
        <w:rPr>
          <w:b/>
          <w:bCs/>
        </w:rPr>
        <w:t>Research Misconduct Policy</w:t>
      </w:r>
      <w:r w:rsidRPr="00573BA3">
        <w:t xml:space="preserve"> as requested by ECUS and the Office of the Provost and found no concerns and had no comments.</w:t>
      </w:r>
    </w:p>
    <w:p w14:paraId="1ECB5E1A" w14:textId="77777777" w:rsidR="006712BF" w:rsidRPr="00573BA3" w:rsidRDefault="006712BF" w:rsidP="006712BF">
      <w:pPr>
        <w:rPr>
          <w:iCs/>
        </w:rPr>
      </w:pPr>
    </w:p>
    <w:p w14:paraId="716E7B5D" w14:textId="77777777" w:rsidR="00865BBB" w:rsidRPr="00573BA3" w:rsidRDefault="00865BBB" w:rsidP="00865BBB">
      <w:r w:rsidRPr="00573BA3">
        <w:rPr>
          <w:b/>
          <w:bCs/>
        </w:rPr>
        <w:t>Committee Membership</w:t>
      </w:r>
      <w:r w:rsidRPr="00573BA3">
        <w:t xml:space="preserve"> </w:t>
      </w:r>
      <w:r w:rsidRPr="00573BA3">
        <w:rPr>
          <w:b/>
          <w:bCs/>
        </w:rPr>
        <w:t>and Record of Attendance: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567"/>
        <w:gridCol w:w="844"/>
        <w:gridCol w:w="1060"/>
        <w:gridCol w:w="1060"/>
        <w:gridCol w:w="1060"/>
        <w:gridCol w:w="1060"/>
      </w:tblGrid>
      <w:tr w:rsidR="007B112C" w:rsidRPr="00573BA3" w14:paraId="52891AB9" w14:textId="77777777" w:rsidTr="001656C5">
        <w:tc>
          <w:tcPr>
            <w:tcW w:w="3567" w:type="dxa"/>
            <w:tcBorders>
              <w:left w:val="double" w:sz="4" w:space="0" w:color="auto"/>
              <w:bottom w:val="single" w:sz="4" w:space="0" w:color="auto"/>
            </w:tcBorders>
          </w:tcPr>
          <w:p w14:paraId="1DDC3546" w14:textId="77777777" w:rsidR="007B112C" w:rsidRPr="00F35F88" w:rsidRDefault="007B112C" w:rsidP="001656C5">
            <w:pPr>
              <w:rPr>
                <w:b/>
                <w:bCs/>
              </w:rPr>
            </w:pPr>
            <w:r w:rsidRPr="00F35F88">
              <w:rPr>
                <w:b/>
                <w:bCs/>
              </w:rPr>
              <w:t>Meeting Dates</w:t>
            </w:r>
          </w:p>
        </w:tc>
        <w:tc>
          <w:tcPr>
            <w:tcW w:w="829" w:type="dxa"/>
            <w:tcBorders>
              <w:bottom w:val="single" w:sz="4" w:space="0" w:color="auto"/>
            </w:tcBorders>
            <w:vAlign w:val="center"/>
          </w:tcPr>
          <w:p w14:paraId="23F48517" w14:textId="77777777" w:rsidR="007B112C" w:rsidRPr="00F35F88" w:rsidRDefault="007B112C" w:rsidP="001656C5">
            <w:pPr>
              <w:jc w:val="center"/>
              <w:rPr>
                <w:b/>
                <w:bCs/>
              </w:rPr>
            </w:pPr>
            <w:r w:rsidRPr="00F35F88">
              <w:rPr>
                <w:b/>
                <w:bCs/>
              </w:rPr>
              <w:t>9/1/23</w:t>
            </w:r>
          </w:p>
        </w:tc>
        <w:tc>
          <w:tcPr>
            <w:tcW w:w="1060" w:type="dxa"/>
            <w:tcBorders>
              <w:bottom w:val="single" w:sz="4" w:space="0" w:color="auto"/>
            </w:tcBorders>
            <w:vAlign w:val="center"/>
          </w:tcPr>
          <w:p w14:paraId="76A281D8" w14:textId="77777777" w:rsidR="007B112C" w:rsidRPr="00F35F88" w:rsidRDefault="007B112C" w:rsidP="001656C5">
            <w:pPr>
              <w:jc w:val="center"/>
              <w:rPr>
                <w:b/>
                <w:bCs/>
              </w:rPr>
            </w:pPr>
            <w:r w:rsidRPr="00F35F88">
              <w:rPr>
                <w:b/>
                <w:bCs/>
              </w:rPr>
              <w:t>10/6/23</w:t>
            </w:r>
          </w:p>
        </w:tc>
        <w:tc>
          <w:tcPr>
            <w:tcW w:w="1060" w:type="dxa"/>
            <w:tcBorders>
              <w:bottom w:val="single" w:sz="4" w:space="0" w:color="auto"/>
            </w:tcBorders>
            <w:vAlign w:val="center"/>
          </w:tcPr>
          <w:p w14:paraId="535C280A" w14:textId="77777777" w:rsidR="007B112C" w:rsidRPr="00F35F88" w:rsidRDefault="007B112C" w:rsidP="001656C5">
            <w:pPr>
              <w:jc w:val="center"/>
              <w:rPr>
                <w:b/>
                <w:bCs/>
              </w:rPr>
            </w:pPr>
            <w:r w:rsidRPr="00F35F88">
              <w:rPr>
                <w:b/>
                <w:bCs/>
              </w:rPr>
              <w:t>11/3/23</w:t>
            </w:r>
          </w:p>
        </w:tc>
        <w:tc>
          <w:tcPr>
            <w:tcW w:w="1060" w:type="dxa"/>
            <w:tcBorders>
              <w:bottom w:val="single" w:sz="4" w:space="0" w:color="auto"/>
            </w:tcBorders>
            <w:vAlign w:val="center"/>
          </w:tcPr>
          <w:p w14:paraId="1178E91E" w14:textId="77777777" w:rsidR="007B112C" w:rsidRPr="00F35F88" w:rsidRDefault="007B112C" w:rsidP="001656C5">
            <w:pPr>
              <w:jc w:val="center"/>
              <w:rPr>
                <w:b/>
                <w:bCs/>
              </w:rPr>
            </w:pPr>
            <w:r w:rsidRPr="00F35F88">
              <w:rPr>
                <w:b/>
                <w:bCs/>
              </w:rPr>
              <w:t>2/9/24</w:t>
            </w:r>
          </w:p>
        </w:tc>
        <w:tc>
          <w:tcPr>
            <w:tcW w:w="1060" w:type="dxa"/>
            <w:tcBorders>
              <w:bottom w:val="single" w:sz="4" w:space="0" w:color="auto"/>
            </w:tcBorders>
            <w:vAlign w:val="center"/>
          </w:tcPr>
          <w:p w14:paraId="6693E370" w14:textId="77777777" w:rsidR="007B112C" w:rsidRPr="00F35F88" w:rsidRDefault="007B112C" w:rsidP="001656C5">
            <w:pPr>
              <w:jc w:val="center"/>
              <w:rPr>
                <w:b/>
                <w:bCs/>
              </w:rPr>
            </w:pPr>
            <w:r w:rsidRPr="00F35F88">
              <w:rPr>
                <w:b/>
                <w:bCs/>
              </w:rPr>
              <w:t>4/5/24</w:t>
            </w:r>
          </w:p>
        </w:tc>
      </w:tr>
      <w:tr w:rsidR="007B112C" w:rsidRPr="00573BA3" w14:paraId="0B77E4D3" w14:textId="77777777" w:rsidTr="001656C5">
        <w:trPr>
          <w:trHeight w:val="338"/>
        </w:trPr>
        <w:tc>
          <w:tcPr>
            <w:tcW w:w="3567" w:type="dxa"/>
            <w:tcBorders>
              <w:left w:val="double" w:sz="4" w:space="0" w:color="auto"/>
            </w:tcBorders>
            <w:shd w:val="clear" w:color="auto" w:fill="FFFFFF"/>
          </w:tcPr>
          <w:p w14:paraId="70D31FA5" w14:textId="77777777" w:rsidR="007B112C" w:rsidRPr="00573BA3" w:rsidRDefault="007B112C" w:rsidP="001656C5">
            <w:r w:rsidRPr="00573BA3">
              <w:t>Stephanie Jett (chair)</w:t>
            </w:r>
          </w:p>
        </w:tc>
        <w:tc>
          <w:tcPr>
            <w:tcW w:w="829" w:type="dxa"/>
            <w:tcBorders>
              <w:bottom w:val="single" w:sz="4" w:space="0" w:color="auto"/>
            </w:tcBorders>
            <w:shd w:val="clear" w:color="auto" w:fill="FFFFFF"/>
            <w:vAlign w:val="bottom"/>
          </w:tcPr>
          <w:p w14:paraId="6E71E11E" w14:textId="77777777" w:rsidR="007B112C" w:rsidRPr="00573BA3" w:rsidRDefault="007B112C" w:rsidP="001656C5">
            <w:r w:rsidRPr="00573BA3">
              <w:t>P</w:t>
            </w:r>
          </w:p>
        </w:tc>
        <w:tc>
          <w:tcPr>
            <w:tcW w:w="1060" w:type="dxa"/>
            <w:tcBorders>
              <w:bottom w:val="single" w:sz="4" w:space="0" w:color="auto"/>
            </w:tcBorders>
            <w:shd w:val="clear" w:color="auto" w:fill="FFFFFF"/>
            <w:vAlign w:val="center"/>
          </w:tcPr>
          <w:p w14:paraId="21D6368F" w14:textId="77777777" w:rsidR="007B112C" w:rsidRPr="00573BA3" w:rsidRDefault="007B112C" w:rsidP="001656C5">
            <w:r w:rsidRPr="00573BA3">
              <w:t>P</w:t>
            </w:r>
          </w:p>
        </w:tc>
        <w:tc>
          <w:tcPr>
            <w:tcW w:w="1060" w:type="dxa"/>
            <w:tcBorders>
              <w:bottom w:val="single" w:sz="4" w:space="0" w:color="auto"/>
            </w:tcBorders>
            <w:shd w:val="clear" w:color="auto" w:fill="FFFFFF"/>
            <w:vAlign w:val="center"/>
          </w:tcPr>
          <w:p w14:paraId="31F7CCC3" w14:textId="77777777" w:rsidR="007B112C" w:rsidRPr="00573BA3" w:rsidRDefault="007B112C" w:rsidP="001656C5">
            <w:r w:rsidRPr="00573BA3">
              <w:t>P</w:t>
            </w:r>
          </w:p>
        </w:tc>
        <w:tc>
          <w:tcPr>
            <w:tcW w:w="1060" w:type="dxa"/>
            <w:tcBorders>
              <w:bottom w:val="single" w:sz="4" w:space="0" w:color="auto"/>
            </w:tcBorders>
            <w:shd w:val="clear" w:color="auto" w:fill="FFFFFF"/>
            <w:vAlign w:val="bottom"/>
          </w:tcPr>
          <w:p w14:paraId="0A773341" w14:textId="77777777" w:rsidR="007B112C" w:rsidRPr="00573BA3" w:rsidRDefault="007B112C" w:rsidP="001656C5">
            <w:r w:rsidRPr="00573BA3">
              <w:t>P</w:t>
            </w:r>
          </w:p>
        </w:tc>
        <w:tc>
          <w:tcPr>
            <w:tcW w:w="1060" w:type="dxa"/>
            <w:tcBorders>
              <w:bottom w:val="single" w:sz="4" w:space="0" w:color="auto"/>
            </w:tcBorders>
            <w:shd w:val="clear" w:color="auto" w:fill="FFFFFF"/>
            <w:vAlign w:val="bottom"/>
          </w:tcPr>
          <w:p w14:paraId="19F5F2FF" w14:textId="77777777" w:rsidR="007B112C" w:rsidRPr="00573BA3" w:rsidRDefault="007B112C" w:rsidP="001656C5">
            <w:r w:rsidRPr="00573BA3">
              <w:t>P</w:t>
            </w:r>
          </w:p>
        </w:tc>
      </w:tr>
      <w:tr w:rsidR="007B112C" w:rsidRPr="00573BA3" w14:paraId="5B6128A3" w14:textId="77777777" w:rsidTr="001656C5">
        <w:trPr>
          <w:trHeight w:val="338"/>
        </w:trPr>
        <w:tc>
          <w:tcPr>
            <w:tcW w:w="3567" w:type="dxa"/>
            <w:tcBorders>
              <w:left w:val="double" w:sz="4" w:space="0" w:color="auto"/>
              <w:right w:val="single" w:sz="4" w:space="0" w:color="auto"/>
            </w:tcBorders>
            <w:shd w:val="clear" w:color="auto" w:fill="FFFFFF"/>
          </w:tcPr>
          <w:p w14:paraId="1192315F" w14:textId="77777777" w:rsidR="007B112C" w:rsidRPr="00573BA3" w:rsidRDefault="007B112C" w:rsidP="001656C5">
            <w:r w:rsidRPr="00573BA3">
              <w:t>Holly Croft (secretary)</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bottom"/>
          </w:tcPr>
          <w:p w14:paraId="307CBE43" w14:textId="77777777" w:rsidR="007B112C" w:rsidRPr="00573BA3" w:rsidRDefault="007B112C" w:rsidP="001656C5">
            <w:r w:rsidRPr="00573BA3">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3C9BE562" w14:textId="77777777" w:rsidR="007B112C" w:rsidRPr="00573BA3" w:rsidRDefault="007B112C" w:rsidP="001656C5">
            <w:r w:rsidRPr="00573BA3">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43BBC0A9" w14:textId="77777777" w:rsidR="007B112C" w:rsidRPr="00573BA3" w:rsidRDefault="007B112C" w:rsidP="001656C5">
            <w:r w:rsidRPr="00573BA3">
              <w:t>P</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14:paraId="14DAE7FE" w14:textId="77777777" w:rsidR="007B112C" w:rsidRPr="00573BA3" w:rsidRDefault="007B112C" w:rsidP="001656C5">
            <w:r w:rsidRPr="00573BA3">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D02B186" w14:textId="77777777" w:rsidR="007B112C" w:rsidRPr="00573BA3" w:rsidRDefault="007B112C" w:rsidP="001656C5">
            <w:r w:rsidRPr="00573BA3">
              <w:t>P</w:t>
            </w:r>
          </w:p>
        </w:tc>
      </w:tr>
      <w:tr w:rsidR="007B112C" w:rsidRPr="00573BA3" w14:paraId="065FA170" w14:textId="77777777" w:rsidTr="001656C5">
        <w:trPr>
          <w:trHeight w:val="338"/>
        </w:trPr>
        <w:tc>
          <w:tcPr>
            <w:tcW w:w="3567" w:type="dxa"/>
            <w:tcBorders>
              <w:left w:val="double" w:sz="4" w:space="0" w:color="auto"/>
            </w:tcBorders>
            <w:shd w:val="clear" w:color="auto" w:fill="FFFFFF"/>
          </w:tcPr>
          <w:p w14:paraId="3960CF94" w14:textId="77777777" w:rsidR="007B112C" w:rsidRPr="00573BA3" w:rsidRDefault="007B112C" w:rsidP="001656C5">
            <w:r w:rsidRPr="00573BA3">
              <w:t>Peter Rosado-Flores (vice chair)</w:t>
            </w:r>
          </w:p>
        </w:tc>
        <w:tc>
          <w:tcPr>
            <w:tcW w:w="829" w:type="dxa"/>
            <w:tcBorders>
              <w:top w:val="single" w:sz="4" w:space="0" w:color="auto"/>
            </w:tcBorders>
            <w:shd w:val="clear" w:color="auto" w:fill="FFFFFF"/>
            <w:vAlign w:val="bottom"/>
          </w:tcPr>
          <w:p w14:paraId="52083CDA" w14:textId="77777777" w:rsidR="007B112C" w:rsidRPr="00573BA3" w:rsidRDefault="007B112C" w:rsidP="001656C5">
            <w:r w:rsidRPr="00573BA3">
              <w:t>P</w:t>
            </w:r>
          </w:p>
        </w:tc>
        <w:tc>
          <w:tcPr>
            <w:tcW w:w="1060" w:type="dxa"/>
            <w:tcBorders>
              <w:top w:val="single" w:sz="4" w:space="0" w:color="auto"/>
            </w:tcBorders>
            <w:shd w:val="clear" w:color="auto" w:fill="FFFFFF"/>
            <w:vAlign w:val="bottom"/>
          </w:tcPr>
          <w:p w14:paraId="21135A1A" w14:textId="77777777" w:rsidR="007B112C" w:rsidRPr="00573BA3" w:rsidRDefault="007B112C" w:rsidP="001656C5">
            <w:r w:rsidRPr="00573BA3">
              <w:t>R</w:t>
            </w:r>
          </w:p>
        </w:tc>
        <w:tc>
          <w:tcPr>
            <w:tcW w:w="1060" w:type="dxa"/>
            <w:tcBorders>
              <w:top w:val="single" w:sz="4" w:space="0" w:color="auto"/>
            </w:tcBorders>
            <w:shd w:val="clear" w:color="auto" w:fill="FFFFFF"/>
            <w:vAlign w:val="bottom"/>
          </w:tcPr>
          <w:p w14:paraId="7E74684A" w14:textId="77777777" w:rsidR="007B112C" w:rsidRPr="00573BA3" w:rsidRDefault="007B112C" w:rsidP="001656C5">
            <w:r w:rsidRPr="00573BA3">
              <w:t>R</w:t>
            </w:r>
          </w:p>
        </w:tc>
        <w:tc>
          <w:tcPr>
            <w:tcW w:w="1060" w:type="dxa"/>
            <w:tcBorders>
              <w:top w:val="single" w:sz="4" w:space="0" w:color="auto"/>
            </w:tcBorders>
            <w:shd w:val="clear" w:color="auto" w:fill="FFFFFF"/>
          </w:tcPr>
          <w:p w14:paraId="52D1DEB6" w14:textId="77777777" w:rsidR="007B112C" w:rsidRPr="00573BA3" w:rsidRDefault="007B112C" w:rsidP="001656C5">
            <w:r w:rsidRPr="00573BA3">
              <w:t>R</w:t>
            </w:r>
          </w:p>
        </w:tc>
        <w:tc>
          <w:tcPr>
            <w:tcW w:w="1060" w:type="dxa"/>
            <w:tcBorders>
              <w:top w:val="single" w:sz="4" w:space="0" w:color="auto"/>
            </w:tcBorders>
            <w:shd w:val="clear" w:color="auto" w:fill="FFFFFF"/>
          </w:tcPr>
          <w:p w14:paraId="5859C176" w14:textId="77777777" w:rsidR="007B112C" w:rsidRPr="00573BA3" w:rsidRDefault="007B112C" w:rsidP="001656C5">
            <w:r w:rsidRPr="00573BA3">
              <w:t>R</w:t>
            </w:r>
          </w:p>
        </w:tc>
      </w:tr>
      <w:tr w:rsidR="007B112C" w:rsidRPr="00573BA3" w14:paraId="04EE1FA4" w14:textId="77777777" w:rsidTr="001656C5">
        <w:trPr>
          <w:trHeight w:val="338"/>
        </w:trPr>
        <w:tc>
          <w:tcPr>
            <w:tcW w:w="3567" w:type="dxa"/>
            <w:tcBorders>
              <w:left w:val="double" w:sz="4" w:space="0" w:color="auto"/>
            </w:tcBorders>
            <w:shd w:val="clear" w:color="auto" w:fill="FFFFFF"/>
          </w:tcPr>
          <w:p w14:paraId="1DC109CD" w14:textId="77777777" w:rsidR="007B112C" w:rsidRPr="00573BA3" w:rsidRDefault="007B112C" w:rsidP="001656C5">
            <w:r w:rsidRPr="00573BA3">
              <w:t>Frank Richardson</w:t>
            </w:r>
          </w:p>
        </w:tc>
        <w:tc>
          <w:tcPr>
            <w:tcW w:w="829" w:type="dxa"/>
            <w:shd w:val="clear" w:color="auto" w:fill="auto"/>
            <w:vAlign w:val="bottom"/>
          </w:tcPr>
          <w:p w14:paraId="11A1B539" w14:textId="77777777" w:rsidR="007B112C" w:rsidRPr="00573BA3" w:rsidRDefault="007B112C" w:rsidP="001656C5">
            <w:r w:rsidRPr="00573BA3">
              <w:t>A</w:t>
            </w:r>
          </w:p>
        </w:tc>
        <w:tc>
          <w:tcPr>
            <w:tcW w:w="1060" w:type="dxa"/>
            <w:shd w:val="clear" w:color="auto" w:fill="FFFFFF"/>
            <w:vAlign w:val="bottom"/>
          </w:tcPr>
          <w:p w14:paraId="03B20495" w14:textId="77777777" w:rsidR="007B112C" w:rsidRPr="00573BA3" w:rsidRDefault="007B112C" w:rsidP="001656C5">
            <w:r w:rsidRPr="00573BA3">
              <w:t>A</w:t>
            </w:r>
          </w:p>
        </w:tc>
        <w:tc>
          <w:tcPr>
            <w:tcW w:w="1060" w:type="dxa"/>
            <w:shd w:val="clear" w:color="auto" w:fill="FFFFFF"/>
            <w:vAlign w:val="bottom"/>
          </w:tcPr>
          <w:p w14:paraId="5F66766F" w14:textId="77777777" w:rsidR="007B112C" w:rsidRPr="00573BA3" w:rsidRDefault="007B112C" w:rsidP="001656C5">
            <w:r w:rsidRPr="00573BA3">
              <w:t>A</w:t>
            </w:r>
          </w:p>
        </w:tc>
        <w:tc>
          <w:tcPr>
            <w:tcW w:w="1060" w:type="dxa"/>
            <w:shd w:val="clear" w:color="auto" w:fill="FFFFFF"/>
          </w:tcPr>
          <w:p w14:paraId="78DA63E7" w14:textId="77777777" w:rsidR="007B112C" w:rsidRPr="00573BA3" w:rsidRDefault="007B112C" w:rsidP="001656C5">
            <w:r w:rsidRPr="00573BA3">
              <w:t>P</w:t>
            </w:r>
          </w:p>
        </w:tc>
        <w:tc>
          <w:tcPr>
            <w:tcW w:w="1060" w:type="dxa"/>
            <w:shd w:val="clear" w:color="auto" w:fill="FFFFFF"/>
          </w:tcPr>
          <w:p w14:paraId="6D377E1D" w14:textId="77777777" w:rsidR="007B112C" w:rsidRPr="00573BA3" w:rsidRDefault="007B112C" w:rsidP="001656C5">
            <w:r w:rsidRPr="00573BA3">
              <w:t>A</w:t>
            </w:r>
          </w:p>
        </w:tc>
      </w:tr>
      <w:tr w:rsidR="007B112C" w:rsidRPr="00573BA3" w14:paraId="6045E124" w14:textId="77777777" w:rsidTr="001656C5">
        <w:trPr>
          <w:trHeight w:val="338"/>
        </w:trPr>
        <w:tc>
          <w:tcPr>
            <w:tcW w:w="3567" w:type="dxa"/>
            <w:tcBorders>
              <w:left w:val="double" w:sz="4" w:space="0" w:color="auto"/>
            </w:tcBorders>
            <w:shd w:val="clear" w:color="auto" w:fill="FFFFFF"/>
          </w:tcPr>
          <w:p w14:paraId="3E4088DB" w14:textId="77777777" w:rsidR="007B112C" w:rsidRPr="00573BA3" w:rsidRDefault="007B112C" w:rsidP="001656C5">
            <w:r w:rsidRPr="00573BA3">
              <w:t>Matt Milnes</w:t>
            </w:r>
          </w:p>
        </w:tc>
        <w:tc>
          <w:tcPr>
            <w:tcW w:w="829" w:type="dxa"/>
            <w:tcBorders>
              <w:bottom w:val="single" w:sz="4" w:space="0" w:color="auto"/>
            </w:tcBorders>
            <w:shd w:val="clear" w:color="auto" w:fill="FFFFFF"/>
            <w:vAlign w:val="bottom"/>
          </w:tcPr>
          <w:p w14:paraId="4CCF0ED4" w14:textId="77777777" w:rsidR="007B112C" w:rsidRPr="00573BA3" w:rsidRDefault="007B112C" w:rsidP="001656C5">
            <w:r w:rsidRPr="00573BA3">
              <w:t>P</w:t>
            </w:r>
          </w:p>
        </w:tc>
        <w:tc>
          <w:tcPr>
            <w:tcW w:w="1060" w:type="dxa"/>
            <w:tcBorders>
              <w:bottom w:val="single" w:sz="4" w:space="0" w:color="auto"/>
            </w:tcBorders>
            <w:shd w:val="clear" w:color="auto" w:fill="FFFFFF"/>
            <w:vAlign w:val="bottom"/>
          </w:tcPr>
          <w:p w14:paraId="3E78A99E" w14:textId="77777777" w:rsidR="007B112C" w:rsidRPr="00573BA3" w:rsidRDefault="007B112C" w:rsidP="001656C5">
            <w:r w:rsidRPr="00573BA3">
              <w:t>P</w:t>
            </w:r>
          </w:p>
        </w:tc>
        <w:tc>
          <w:tcPr>
            <w:tcW w:w="1060" w:type="dxa"/>
            <w:tcBorders>
              <w:bottom w:val="single" w:sz="4" w:space="0" w:color="auto"/>
            </w:tcBorders>
            <w:shd w:val="clear" w:color="auto" w:fill="FFFFFF"/>
            <w:vAlign w:val="bottom"/>
          </w:tcPr>
          <w:p w14:paraId="360FDAA1" w14:textId="77777777" w:rsidR="007B112C" w:rsidRPr="00573BA3" w:rsidRDefault="007B112C" w:rsidP="001656C5">
            <w:r w:rsidRPr="00573BA3">
              <w:t>P</w:t>
            </w:r>
          </w:p>
        </w:tc>
        <w:tc>
          <w:tcPr>
            <w:tcW w:w="1060" w:type="dxa"/>
            <w:tcBorders>
              <w:bottom w:val="single" w:sz="4" w:space="0" w:color="auto"/>
            </w:tcBorders>
            <w:shd w:val="clear" w:color="auto" w:fill="FFFFFF"/>
          </w:tcPr>
          <w:p w14:paraId="1943303A" w14:textId="77777777" w:rsidR="007B112C" w:rsidRPr="00573BA3" w:rsidRDefault="007B112C" w:rsidP="001656C5">
            <w:r w:rsidRPr="00573BA3">
              <w:t>P</w:t>
            </w:r>
          </w:p>
        </w:tc>
        <w:tc>
          <w:tcPr>
            <w:tcW w:w="1060" w:type="dxa"/>
            <w:tcBorders>
              <w:bottom w:val="single" w:sz="4" w:space="0" w:color="auto"/>
            </w:tcBorders>
            <w:shd w:val="clear" w:color="auto" w:fill="FFFFFF"/>
          </w:tcPr>
          <w:p w14:paraId="419DDD76" w14:textId="77777777" w:rsidR="007B112C" w:rsidRPr="00573BA3" w:rsidRDefault="007B112C" w:rsidP="001656C5">
            <w:r w:rsidRPr="00573BA3">
              <w:t>P</w:t>
            </w:r>
          </w:p>
        </w:tc>
      </w:tr>
      <w:tr w:rsidR="007B112C" w:rsidRPr="00573BA3" w14:paraId="101F39C9" w14:textId="77777777" w:rsidTr="001656C5">
        <w:trPr>
          <w:trHeight w:val="338"/>
        </w:trPr>
        <w:tc>
          <w:tcPr>
            <w:tcW w:w="3567" w:type="dxa"/>
            <w:tcBorders>
              <w:left w:val="double" w:sz="4" w:space="0" w:color="auto"/>
            </w:tcBorders>
            <w:shd w:val="clear" w:color="auto" w:fill="FFFFFF"/>
          </w:tcPr>
          <w:p w14:paraId="73DB03C8" w14:textId="77777777" w:rsidR="007B112C" w:rsidRPr="00573BA3" w:rsidRDefault="007B112C" w:rsidP="001656C5">
            <w:r w:rsidRPr="00573BA3">
              <w:t>John Marshall Smith</w:t>
            </w:r>
          </w:p>
        </w:tc>
        <w:tc>
          <w:tcPr>
            <w:tcW w:w="829" w:type="dxa"/>
            <w:shd w:val="clear" w:color="auto" w:fill="FFFFFF"/>
            <w:vAlign w:val="bottom"/>
          </w:tcPr>
          <w:p w14:paraId="342D0A77" w14:textId="77777777" w:rsidR="007B112C" w:rsidRPr="00573BA3" w:rsidRDefault="007B112C" w:rsidP="001656C5">
            <w:r w:rsidRPr="00573BA3">
              <w:t>R</w:t>
            </w:r>
          </w:p>
        </w:tc>
        <w:tc>
          <w:tcPr>
            <w:tcW w:w="1060" w:type="dxa"/>
            <w:shd w:val="clear" w:color="auto" w:fill="FFFFFF"/>
            <w:vAlign w:val="bottom"/>
          </w:tcPr>
          <w:p w14:paraId="3EF745FB" w14:textId="77777777" w:rsidR="007B112C" w:rsidRPr="00573BA3" w:rsidRDefault="007B112C" w:rsidP="001656C5">
            <w:r w:rsidRPr="00573BA3">
              <w:t>P</w:t>
            </w:r>
          </w:p>
        </w:tc>
        <w:tc>
          <w:tcPr>
            <w:tcW w:w="1060" w:type="dxa"/>
            <w:shd w:val="clear" w:color="auto" w:fill="FFFFFF"/>
            <w:vAlign w:val="bottom"/>
          </w:tcPr>
          <w:p w14:paraId="2F44845A" w14:textId="77777777" w:rsidR="007B112C" w:rsidRPr="00573BA3" w:rsidRDefault="007B112C" w:rsidP="001656C5">
            <w:r w:rsidRPr="00573BA3">
              <w:t>P</w:t>
            </w:r>
          </w:p>
        </w:tc>
        <w:tc>
          <w:tcPr>
            <w:tcW w:w="1060" w:type="dxa"/>
            <w:shd w:val="clear" w:color="auto" w:fill="FFFFFF"/>
          </w:tcPr>
          <w:p w14:paraId="72964630" w14:textId="77777777" w:rsidR="007B112C" w:rsidRPr="00573BA3" w:rsidRDefault="007B112C" w:rsidP="001656C5">
            <w:pPr>
              <w:rPr>
                <w:b/>
                <w:bCs/>
              </w:rPr>
            </w:pPr>
            <w:r w:rsidRPr="00573BA3">
              <w:t>P</w:t>
            </w:r>
          </w:p>
        </w:tc>
        <w:tc>
          <w:tcPr>
            <w:tcW w:w="1060" w:type="dxa"/>
            <w:shd w:val="clear" w:color="auto" w:fill="FFFFFF"/>
            <w:vAlign w:val="bottom"/>
          </w:tcPr>
          <w:p w14:paraId="0A0F82F2" w14:textId="77777777" w:rsidR="007B112C" w:rsidRPr="00573BA3" w:rsidRDefault="007B112C" w:rsidP="001656C5">
            <w:r w:rsidRPr="00573BA3">
              <w:t>R</w:t>
            </w:r>
          </w:p>
        </w:tc>
      </w:tr>
      <w:tr w:rsidR="007B112C" w:rsidRPr="00573BA3" w14:paraId="599E7DBD" w14:textId="77777777" w:rsidTr="001656C5">
        <w:trPr>
          <w:trHeight w:val="338"/>
        </w:trPr>
        <w:tc>
          <w:tcPr>
            <w:tcW w:w="3567" w:type="dxa"/>
            <w:tcBorders>
              <w:left w:val="double" w:sz="4" w:space="0" w:color="auto"/>
            </w:tcBorders>
            <w:shd w:val="clear" w:color="auto" w:fill="FFFFFF"/>
          </w:tcPr>
          <w:p w14:paraId="18F88C85" w14:textId="77777777" w:rsidR="007B112C" w:rsidRPr="00573BA3" w:rsidRDefault="007B112C" w:rsidP="001656C5">
            <w:proofErr w:type="spellStart"/>
            <w:r w:rsidRPr="00573BA3">
              <w:t>Huaiyu</w:t>
            </w:r>
            <w:proofErr w:type="spellEnd"/>
            <w:r w:rsidRPr="00573BA3">
              <w:t xml:space="preserve"> Wang</w:t>
            </w:r>
          </w:p>
        </w:tc>
        <w:tc>
          <w:tcPr>
            <w:tcW w:w="829" w:type="dxa"/>
            <w:tcBorders>
              <w:bottom w:val="single" w:sz="4" w:space="0" w:color="auto"/>
            </w:tcBorders>
            <w:shd w:val="clear" w:color="auto" w:fill="auto"/>
            <w:vAlign w:val="bottom"/>
          </w:tcPr>
          <w:p w14:paraId="12337C26" w14:textId="77777777" w:rsidR="007B112C" w:rsidRPr="00573BA3" w:rsidRDefault="007B112C" w:rsidP="001656C5">
            <w:r w:rsidRPr="00573BA3">
              <w:t>P</w:t>
            </w:r>
          </w:p>
        </w:tc>
        <w:tc>
          <w:tcPr>
            <w:tcW w:w="1060" w:type="dxa"/>
            <w:tcBorders>
              <w:bottom w:val="single" w:sz="4" w:space="0" w:color="auto"/>
            </w:tcBorders>
            <w:shd w:val="clear" w:color="auto" w:fill="FFFFFF"/>
            <w:vAlign w:val="bottom"/>
          </w:tcPr>
          <w:p w14:paraId="5C2E6943" w14:textId="77777777" w:rsidR="007B112C" w:rsidRPr="00573BA3" w:rsidRDefault="007B112C" w:rsidP="001656C5">
            <w:r w:rsidRPr="00573BA3">
              <w:t>P</w:t>
            </w:r>
          </w:p>
        </w:tc>
        <w:tc>
          <w:tcPr>
            <w:tcW w:w="1060" w:type="dxa"/>
            <w:tcBorders>
              <w:bottom w:val="single" w:sz="4" w:space="0" w:color="auto"/>
            </w:tcBorders>
            <w:shd w:val="clear" w:color="auto" w:fill="FFFFFF"/>
            <w:vAlign w:val="bottom"/>
          </w:tcPr>
          <w:p w14:paraId="7B8916AA" w14:textId="77777777" w:rsidR="007B112C" w:rsidRPr="00573BA3" w:rsidRDefault="007B112C" w:rsidP="001656C5">
            <w:r w:rsidRPr="00573BA3">
              <w:t>P</w:t>
            </w:r>
          </w:p>
        </w:tc>
        <w:tc>
          <w:tcPr>
            <w:tcW w:w="1060" w:type="dxa"/>
            <w:tcBorders>
              <w:bottom w:val="single" w:sz="4" w:space="0" w:color="auto"/>
            </w:tcBorders>
            <w:shd w:val="clear" w:color="auto" w:fill="FFFFFF"/>
          </w:tcPr>
          <w:p w14:paraId="5537641A" w14:textId="77777777" w:rsidR="007B112C" w:rsidRPr="00573BA3" w:rsidRDefault="007B112C" w:rsidP="001656C5">
            <w:pPr>
              <w:rPr>
                <w:b/>
                <w:bCs/>
              </w:rPr>
            </w:pPr>
            <w:r w:rsidRPr="00573BA3">
              <w:t>P</w:t>
            </w:r>
          </w:p>
        </w:tc>
        <w:tc>
          <w:tcPr>
            <w:tcW w:w="1060" w:type="dxa"/>
            <w:tcBorders>
              <w:bottom w:val="single" w:sz="4" w:space="0" w:color="auto"/>
            </w:tcBorders>
            <w:shd w:val="clear" w:color="auto" w:fill="FFFFFF"/>
            <w:vAlign w:val="bottom"/>
          </w:tcPr>
          <w:p w14:paraId="49082C76" w14:textId="77777777" w:rsidR="007B112C" w:rsidRPr="00573BA3" w:rsidRDefault="007B112C" w:rsidP="001656C5">
            <w:r w:rsidRPr="00573BA3">
              <w:t>P</w:t>
            </w:r>
          </w:p>
        </w:tc>
      </w:tr>
      <w:tr w:rsidR="007B112C" w:rsidRPr="00573BA3" w14:paraId="31B31968" w14:textId="77777777" w:rsidTr="001656C5">
        <w:trPr>
          <w:trHeight w:val="338"/>
        </w:trPr>
        <w:tc>
          <w:tcPr>
            <w:tcW w:w="3567" w:type="dxa"/>
            <w:tcBorders>
              <w:left w:val="double" w:sz="4" w:space="0" w:color="auto"/>
            </w:tcBorders>
            <w:shd w:val="clear" w:color="auto" w:fill="FFFFFF"/>
          </w:tcPr>
          <w:p w14:paraId="304A9174" w14:textId="77777777" w:rsidR="007B112C" w:rsidRPr="00573BA3" w:rsidRDefault="007B112C" w:rsidP="001656C5">
            <w:r w:rsidRPr="00573BA3">
              <w:t xml:space="preserve">Aric </w:t>
            </w:r>
            <w:proofErr w:type="spellStart"/>
            <w:r w:rsidRPr="00573BA3">
              <w:t>Wilhau</w:t>
            </w:r>
            <w:proofErr w:type="spellEnd"/>
          </w:p>
        </w:tc>
        <w:tc>
          <w:tcPr>
            <w:tcW w:w="829" w:type="dxa"/>
            <w:shd w:val="clear" w:color="auto" w:fill="auto"/>
            <w:vAlign w:val="bottom"/>
          </w:tcPr>
          <w:p w14:paraId="37BAE828" w14:textId="77777777" w:rsidR="007B112C" w:rsidRPr="00573BA3" w:rsidRDefault="007B112C" w:rsidP="001656C5">
            <w:r w:rsidRPr="00573BA3">
              <w:t>P</w:t>
            </w:r>
          </w:p>
        </w:tc>
        <w:tc>
          <w:tcPr>
            <w:tcW w:w="1060" w:type="dxa"/>
            <w:tcBorders>
              <w:bottom w:val="single" w:sz="4" w:space="0" w:color="auto"/>
            </w:tcBorders>
            <w:shd w:val="clear" w:color="auto" w:fill="auto"/>
            <w:vAlign w:val="bottom"/>
          </w:tcPr>
          <w:p w14:paraId="18691848" w14:textId="77777777" w:rsidR="007B112C" w:rsidRPr="00573BA3" w:rsidRDefault="007B112C" w:rsidP="001656C5">
            <w:r w:rsidRPr="00573BA3">
              <w:t>P</w:t>
            </w:r>
          </w:p>
        </w:tc>
        <w:tc>
          <w:tcPr>
            <w:tcW w:w="1060" w:type="dxa"/>
            <w:tcBorders>
              <w:bottom w:val="single" w:sz="4" w:space="0" w:color="auto"/>
            </w:tcBorders>
            <w:shd w:val="clear" w:color="auto" w:fill="auto"/>
            <w:vAlign w:val="bottom"/>
          </w:tcPr>
          <w:p w14:paraId="12D53C27" w14:textId="77777777" w:rsidR="007B112C" w:rsidRPr="00573BA3" w:rsidRDefault="007B112C" w:rsidP="001656C5">
            <w:r w:rsidRPr="00573BA3">
              <w:t>P</w:t>
            </w:r>
          </w:p>
        </w:tc>
        <w:tc>
          <w:tcPr>
            <w:tcW w:w="1060" w:type="dxa"/>
            <w:tcBorders>
              <w:bottom w:val="single" w:sz="4" w:space="0" w:color="auto"/>
            </w:tcBorders>
            <w:shd w:val="clear" w:color="auto" w:fill="auto"/>
          </w:tcPr>
          <w:p w14:paraId="19716E46" w14:textId="77777777" w:rsidR="007B112C" w:rsidRPr="00573BA3" w:rsidRDefault="007B112C" w:rsidP="001656C5">
            <w:pPr>
              <w:rPr>
                <w:b/>
                <w:bCs/>
              </w:rPr>
            </w:pPr>
            <w:r w:rsidRPr="00573BA3">
              <w:t>P</w:t>
            </w:r>
          </w:p>
        </w:tc>
        <w:tc>
          <w:tcPr>
            <w:tcW w:w="1060" w:type="dxa"/>
            <w:tcBorders>
              <w:bottom w:val="single" w:sz="4" w:space="0" w:color="auto"/>
            </w:tcBorders>
            <w:shd w:val="clear" w:color="auto" w:fill="auto"/>
            <w:vAlign w:val="bottom"/>
          </w:tcPr>
          <w:p w14:paraId="2FA03F8F" w14:textId="77777777" w:rsidR="007B112C" w:rsidRPr="00573BA3" w:rsidRDefault="007B112C" w:rsidP="001656C5">
            <w:r w:rsidRPr="00573BA3">
              <w:t>P</w:t>
            </w:r>
          </w:p>
        </w:tc>
      </w:tr>
      <w:tr w:rsidR="007B112C" w:rsidRPr="00573BA3" w14:paraId="70A80F8E" w14:textId="77777777" w:rsidTr="001656C5">
        <w:trPr>
          <w:trHeight w:val="338"/>
        </w:trPr>
        <w:tc>
          <w:tcPr>
            <w:tcW w:w="3567" w:type="dxa"/>
            <w:tcBorders>
              <w:left w:val="double" w:sz="4" w:space="0" w:color="auto"/>
            </w:tcBorders>
            <w:shd w:val="clear" w:color="auto" w:fill="FFFFFF"/>
          </w:tcPr>
          <w:p w14:paraId="3EE2770F" w14:textId="77777777" w:rsidR="007B112C" w:rsidRPr="00573BA3" w:rsidRDefault="007B112C" w:rsidP="001656C5">
            <w:r w:rsidRPr="00573BA3">
              <w:t xml:space="preserve">Olha </w:t>
            </w:r>
            <w:proofErr w:type="spellStart"/>
            <w:r w:rsidRPr="00573BA3">
              <w:t>Osobov</w:t>
            </w:r>
            <w:proofErr w:type="spellEnd"/>
          </w:p>
        </w:tc>
        <w:tc>
          <w:tcPr>
            <w:tcW w:w="829" w:type="dxa"/>
            <w:shd w:val="clear" w:color="auto" w:fill="auto"/>
            <w:vAlign w:val="bottom"/>
          </w:tcPr>
          <w:p w14:paraId="10FE50D8" w14:textId="77777777" w:rsidR="007B112C" w:rsidRPr="00573BA3" w:rsidRDefault="007B112C" w:rsidP="001656C5">
            <w:r w:rsidRPr="00573BA3">
              <w:t>P</w:t>
            </w:r>
          </w:p>
        </w:tc>
        <w:tc>
          <w:tcPr>
            <w:tcW w:w="1060" w:type="dxa"/>
            <w:shd w:val="clear" w:color="auto" w:fill="auto"/>
            <w:vAlign w:val="bottom"/>
          </w:tcPr>
          <w:p w14:paraId="07703282" w14:textId="77777777" w:rsidR="007B112C" w:rsidRPr="00573BA3" w:rsidRDefault="007B112C" w:rsidP="001656C5">
            <w:r w:rsidRPr="00573BA3">
              <w:t>P</w:t>
            </w:r>
          </w:p>
        </w:tc>
        <w:tc>
          <w:tcPr>
            <w:tcW w:w="1060" w:type="dxa"/>
            <w:shd w:val="clear" w:color="auto" w:fill="auto"/>
            <w:vAlign w:val="bottom"/>
          </w:tcPr>
          <w:p w14:paraId="764E5600" w14:textId="77777777" w:rsidR="007B112C" w:rsidRPr="00573BA3" w:rsidRDefault="007B112C" w:rsidP="001656C5">
            <w:r w:rsidRPr="00573BA3">
              <w:t>P</w:t>
            </w:r>
          </w:p>
        </w:tc>
        <w:tc>
          <w:tcPr>
            <w:tcW w:w="1060" w:type="dxa"/>
            <w:shd w:val="clear" w:color="auto" w:fill="auto"/>
          </w:tcPr>
          <w:p w14:paraId="364647B8" w14:textId="77777777" w:rsidR="007B112C" w:rsidRPr="00573BA3" w:rsidRDefault="007B112C" w:rsidP="001656C5">
            <w:pPr>
              <w:rPr>
                <w:b/>
                <w:bCs/>
              </w:rPr>
            </w:pPr>
            <w:r w:rsidRPr="00573BA3">
              <w:t>P</w:t>
            </w:r>
          </w:p>
        </w:tc>
        <w:tc>
          <w:tcPr>
            <w:tcW w:w="1060" w:type="dxa"/>
            <w:shd w:val="clear" w:color="auto" w:fill="auto"/>
          </w:tcPr>
          <w:p w14:paraId="413A324A" w14:textId="77777777" w:rsidR="007B112C" w:rsidRPr="00573BA3" w:rsidRDefault="007B112C" w:rsidP="001656C5">
            <w:r w:rsidRPr="00573BA3">
              <w:t>R</w:t>
            </w:r>
          </w:p>
        </w:tc>
      </w:tr>
      <w:tr w:rsidR="007B112C" w:rsidRPr="00573BA3" w14:paraId="1460EA51" w14:textId="77777777" w:rsidTr="001656C5">
        <w:trPr>
          <w:trHeight w:val="338"/>
        </w:trPr>
        <w:tc>
          <w:tcPr>
            <w:tcW w:w="3567" w:type="dxa"/>
            <w:tcBorders>
              <w:left w:val="double" w:sz="4" w:space="0" w:color="auto"/>
            </w:tcBorders>
            <w:shd w:val="clear" w:color="auto" w:fill="FFFFFF"/>
          </w:tcPr>
          <w:p w14:paraId="7A69B025" w14:textId="77777777" w:rsidR="007B112C" w:rsidRPr="00573BA3" w:rsidRDefault="007B112C" w:rsidP="001656C5">
            <w:r w:rsidRPr="00573BA3">
              <w:t>David Weese</w:t>
            </w:r>
          </w:p>
        </w:tc>
        <w:tc>
          <w:tcPr>
            <w:tcW w:w="829" w:type="dxa"/>
            <w:tcBorders>
              <w:bottom w:val="single" w:sz="4" w:space="0" w:color="auto"/>
            </w:tcBorders>
            <w:shd w:val="clear" w:color="auto" w:fill="auto"/>
            <w:vAlign w:val="bottom"/>
          </w:tcPr>
          <w:p w14:paraId="43977B7E" w14:textId="77777777" w:rsidR="007B112C" w:rsidRPr="00573BA3" w:rsidRDefault="007B112C" w:rsidP="001656C5">
            <w:r w:rsidRPr="00573BA3">
              <w:t>P</w:t>
            </w:r>
          </w:p>
        </w:tc>
        <w:tc>
          <w:tcPr>
            <w:tcW w:w="1060" w:type="dxa"/>
            <w:shd w:val="clear" w:color="auto" w:fill="auto"/>
            <w:vAlign w:val="bottom"/>
          </w:tcPr>
          <w:p w14:paraId="25697AF3" w14:textId="77777777" w:rsidR="007B112C" w:rsidRPr="00573BA3" w:rsidRDefault="007B112C" w:rsidP="001656C5">
            <w:r w:rsidRPr="00573BA3">
              <w:t>P</w:t>
            </w:r>
          </w:p>
        </w:tc>
        <w:tc>
          <w:tcPr>
            <w:tcW w:w="1060" w:type="dxa"/>
            <w:shd w:val="clear" w:color="auto" w:fill="auto"/>
            <w:vAlign w:val="bottom"/>
          </w:tcPr>
          <w:p w14:paraId="5A9E7E83" w14:textId="77777777" w:rsidR="007B112C" w:rsidRPr="00573BA3" w:rsidRDefault="007B112C" w:rsidP="001656C5">
            <w:r w:rsidRPr="00573BA3">
              <w:t>R</w:t>
            </w:r>
          </w:p>
        </w:tc>
        <w:tc>
          <w:tcPr>
            <w:tcW w:w="1060" w:type="dxa"/>
            <w:shd w:val="clear" w:color="auto" w:fill="auto"/>
          </w:tcPr>
          <w:p w14:paraId="0D685750" w14:textId="77777777" w:rsidR="007B112C" w:rsidRPr="00573BA3" w:rsidRDefault="007B112C" w:rsidP="001656C5">
            <w:r w:rsidRPr="00573BA3">
              <w:t>R</w:t>
            </w:r>
          </w:p>
        </w:tc>
        <w:tc>
          <w:tcPr>
            <w:tcW w:w="1060" w:type="dxa"/>
            <w:shd w:val="clear" w:color="auto" w:fill="auto"/>
          </w:tcPr>
          <w:p w14:paraId="76EA44DE" w14:textId="77777777" w:rsidR="007B112C" w:rsidRPr="00573BA3" w:rsidRDefault="007B112C" w:rsidP="001656C5">
            <w:r w:rsidRPr="00573BA3">
              <w:t>P</w:t>
            </w:r>
          </w:p>
        </w:tc>
      </w:tr>
      <w:tr w:rsidR="007B112C" w:rsidRPr="00573BA3" w14:paraId="62E3925C" w14:textId="77777777" w:rsidTr="001656C5">
        <w:trPr>
          <w:trHeight w:val="338"/>
        </w:trPr>
        <w:tc>
          <w:tcPr>
            <w:tcW w:w="3567" w:type="dxa"/>
            <w:tcBorders>
              <w:left w:val="double" w:sz="4" w:space="0" w:color="auto"/>
            </w:tcBorders>
          </w:tcPr>
          <w:p w14:paraId="6509EE08" w14:textId="77777777" w:rsidR="007B112C" w:rsidRPr="00573BA3" w:rsidRDefault="007B112C" w:rsidP="001656C5">
            <w:r w:rsidRPr="00573BA3">
              <w:t>Chris Clark</w:t>
            </w:r>
          </w:p>
        </w:tc>
        <w:tc>
          <w:tcPr>
            <w:tcW w:w="829" w:type="dxa"/>
            <w:tcBorders>
              <w:bottom w:val="single" w:sz="4" w:space="0" w:color="auto"/>
            </w:tcBorders>
            <w:shd w:val="clear" w:color="auto" w:fill="auto"/>
            <w:vAlign w:val="bottom"/>
          </w:tcPr>
          <w:p w14:paraId="48FD831F" w14:textId="77777777" w:rsidR="007B112C" w:rsidRPr="00573BA3" w:rsidRDefault="007B112C" w:rsidP="001656C5">
            <w:r w:rsidRPr="00573BA3">
              <w:t>P</w:t>
            </w:r>
          </w:p>
        </w:tc>
        <w:tc>
          <w:tcPr>
            <w:tcW w:w="1060" w:type="dxa"/>
            <w:shd w:val="clear" w:color="auto" w:fill="auto"/>
            <w:vAlign w:val="bottom"/>
          </w:tcPr>
          <w:p w14:paraId="409C0A6A" w14:textId="77777777" w:rsidR="007B112C" w:rsidRPr="00573BA3" w:rsidRDefault="007B112C" w:rsidP="001656C5">
            <w:r w:rsidRPr="00573BA3">
              <w:t>P</w:t>
            </w:r>
          </w:p>
        </w:tc>
        <w:tc>
          <w:tcPr>
            <w:tcW w:w="1060" w:type="dxa"/>
            <w:shd w:val="clear" w:color="auto" w:fill="auto"/>
            <w:vAlign w:val="bottom"/>
          </w:tcPr>
          <w:p w14:paraId="3D48494B" w14:textId="77777777" w:rsidR="007B112C" w:rsidRPr="00573BA3" w:rsidRDefault="007B112C" w:rsidP="001656C5">
            <w:r w:rsidRPr="00573BA3">
              <w:t>R</w:t>
            </w:r>
          </w:p>
        </w:tc>
        <w:tc>
          <w:tcPr>
            <w:tcW w:w="1060" w:type="dxa"/>
            <w:shd w:val="clear" w:color="auto" w:fill="auto"/>
          </w:tcPr>
          <w:p w14:paraId="19309259" w14:textId="77777777" w:rsidR="007B112C" w:rsidRPr="00573BA3" w:rsidRDefault="007B112C" w:rsidP="001656C5">
            <w:r w:rsidRPr="00573BA3">
              <w:t>R</w:t>
            </w:r>
          </w:p>
        </w:tc>
        <w:tc>
          <w:tcPr>
            <w:tcW w:w="1060" w:type="dxa"/>
            <w:shd w:val="clear" w:color="auto" w:fill="auto"/>
            <w:vAlign w:val="bottom"/>
          </w:tcPr>
          <w:p w14:paraId="776B1A79" w14:textId="77777777" w:rsidR="007B112C" w:rsidRPr="00573BA3" w:rsidRDefault="007B112C" w:rsidP="001656C5">
            <w:r w:rsidRPr="00573BA3">
              <w:t>R</w:t>
            </w:r>
          </w:p>
        </w:tc>
      </w:tr>
      <w:tr w:rsidR="007B112C" w:rsidRPr="00573BA3" w14:paraId="4BBCD5F9" w14:textId="77777777" w:rsidTr="001656C5">
        <w:trPr>
          <w:trHeight w:val="338"/>
        </w:trPr>
        <w:tc>
          <w:tcPr>
            <w:tcW w:w="3567" w:type="dxa"/>
            <w:tcBorders>
              <w:left w:val="double" w:sz="4" w:space="0" w:color="auto"/>
            </w:tcBorders>
          </w:tcPr>
          <w:p w14:paraId="4F72BDBF" w14:textId="77777777" w:rsidR="007B112C" w:rsidRPr="00573BA3" w:rsidRDefault="007B112C" w:rsidP="001656C5">
            <w:r w:rsidRPr="00573BA3">
              <w:t>Winston Tripp</w:t>
            </w:r>
          </w:p>
        </w:tc>
        <w:tc>
          <w:tcPr>
            <w:tcW w:w="829" w:type="dxa"/>
            <w:shd w:val="clear" w:color="auto" w:fill="auto"/>
            <w:vAlign w:val="bottom"/>
          </w:tcPr>
          <w:p w14:paraId="7FE6188E" w14:textId="77777777" w:rsidR="007B112C" w:rsidRPr="00573BA3" w:rsidRDefault="007B112C" w:rsidP="001656C5">
            <w:r w:rsidRPr="00573BA3">
              <w:t>P</w:t>
            </w:r>
          </w:p>
        </w:tc>
        <w:tc>
          <w:tcPr>
            <w:tcW w:w="1060" w:type="dxa"/>
            <w:shd w:val="clear" w:color="auto" w:fill="auto"/>
            <w:vAlign w:val="bottom"/>
          </w:tcPr>
          <w:p w14:paraId="39490D6D" w14:textId="77777777" w:rsidR="007B112C" w:rsidRPr="00573BA3" w:rsidRDefault="007B112C" w:rsidP="001656C5">
            <w:r w:rsidRPr="00573BA3">
              <w:t>P</w:t>
            </w:r>
          </w:p>
        </w:tc>
        <w:tc>
          <w:tcPr>
            <w:tcW w:w="1060" w:type="dxa"/>
            <w:shd w:val="clear" w:color="auto" w:fill="auto"/>
            <w:vAlign w:val="bottom"/>
          </w:tcPr>
          <w:p w14:paraId="4294E298" w14:textId="77777777" w:rsidR="007B112C" w:rsidRPr="00573BA3" w:rsidRDefault="007B112C" w:rsidP="001656C5">
            <w:r w:rsidRPr="00573BA3">
              <w:t>P</w:t>
            </w:r>
          </w:p>
        </w:tc>
        <w:tc>
          <w:tcPr>
            <w:tcW w:w="1060" w:type="dxa"/>
            <w:shd w:val="clear" w:color="auto" w:fill="auto"/>
          </w:tcPr>
          <w:p w14:paraId="64C5AC72" w14:textId="77777777" w:rsidR="007B112C" w:rsidRPr="00573BA3" w:rsidRDefault="007B112C" w:rsidP="001656C5">
            <w:pPr>
              <w:rPr>
                <w:b/>
                <w:bCs/>
              </w:rPr>
            </w:pPr>
            <w:r w:rsidRPr="00573BA3">
              <w:t>P</w:t>
            </w:r>
          </w:p>
        </w:tc>
        <w:tc>
          <w:tcPr>
            <w:tcW w:w="1060" w:type="dxa"/>
            <w:shd w:val="clear" w:color="auto" w:fill="auto"/>
            <w:vAlign w:val="bottom"/>
          </w:tcPr>
          <w:p w14:paraId="0E757958" w14:textId="77777777" w:rsidR="007B112C" w:rsidRPr="00573BA3" w:rsidRDefault="007B112C" w:rsidP="001656C5">
            <w:r w:rsidRPr="00573BA3">
              <w:t>P</w:t>
            </w:r>
          </w:p>
        </w:tc>
      </w:tr>
    </w:tbl>
    <w:p w14:paraId="56EC79B6" w14:textId="77777777" w:rsidR="00865BBB" w:rsidRPr="00573BA3" w:rsidRDefault="00865BBB" w:rsidP="00865BBB">
      <w:r w:rsidRPr="00573BA3">
        <w:rPr>
          <w:b/>
          <w:bCs/>
        </w:rPr>
        <w:t> </w:t>
      </w:r>
    </w:p>
    <w:p w14:paraId="21935393" w14:textId="77777777" w:rsidR="003534AF" w:rsidRPr="00573BA3" w:rsidRDefault="003534AF" w:rsidP="00865BBB">
      <w:pPr>
        <w:rPr>
          <w:b/>
          <w:bCs/>
        </w:rPr>
      </w:pPr>
    </w:p>
    <w:p w14:paraId="2FAE2022" w14:textId="77777777" w:rsidR="003534AF" w:rsidRPr="00573BA3" w:rsidRDefault="003534AF" w:rsidP="00865BBB">
      <w:pPr>
        <w:rPr>
          <w:b/>
          <w:bCs/>
        </w:rPr>
      </w:pPr>
    </w:p>
    <w:p w14:paraId="73362903" w14:textId="77777777" w:rsidR="003534AF" w:rsidRPr="00573BA3" w:rsidRDefault="003534AF" w:rsidP="00865BBB">
      <w:pPr>
        <w:rPr>
          <w:b/>
          <w:bCs/>
        </w:rPr>
      </w:pPr>
    </w:p>
    <w:p w14:paraId="73BEAAAF" w14:textId="77777777" w:rsidR="003534AF" w:rsidRPr="00573BA3" w:rsidRDefault="003534AF" w:rsidP="00865BBB">
      <w:pPr>
        <w:rPr>
          <w:b/>
          <w:bCs/>
        </w:rPr>
      </w:pPr>
    </w:p>
    <w:p w14:paraId="440D5EF0" w14:textId="77777777" w:rsidR="003534AF" w:rsidRPr="00573BA3" w:rsidRDefault="003534AF" w:rsidP="00865BBB">
      <w:pPr>
        <w:rPr>
          <w:b/>
          <w:bCs/>
        </w:rPr>
      </w:pPr>
    </w:p>
    <w:p w14:paraId="2A051598" w14:textId="77777777" w:rsidR="003534AF" w:rsidRPr="00573BA3" w:rsidRDefault="003534AF" w:rsidP="00865BBB">
      <w:pPr>
        <w:rPr>
          <w:b/>
          <w:bCs/>
        </w:rPr>
      </w:pPr>
    </w:p>
    <w:p w14:paraId="2A484C6A" w14:textId="77777777" w:rsidR="003534AF" w:rsidRPr="00573BA3" w:rsidRDefault="003534AF" w:rsidP="00865BBB">
      <w:pPr>
        <w:rPr>
          <w:b/>
          <w:bCs/>
        </w:rPr>
      </w:pPr>
    </w:p>
    <w:p w14:paraId="7FAE1BDD" w14:textId="77777777" w:rsidR="003534AF" w:rsidRPr="00573BA3" w:rsidRDefault="003534AF" w:rsidP="00865BBB">
      <w:pPr>
        <w:rPr>
          <w:b/>
          <w:bCs/>
        </w:rPr>
      </w:pPr>
    </w:p>
    <w:p w14:paraId="3F6183E7" w14:textId="77777777" w:rsidR="003534AF" w:rsidRPr="00573BA3" w:rsidRDefault="003534AF" w:rsidP="00865BBB">
      <w:pPr>
        <w:rPr>
          <w:b/>
          <w:bCs/>
        </w:rPr>
      </w:pPr>
    </w:p>
    <w:p w14:paraId="04A3E24D" w14:textId="77777777" w:rsidR="003534AF" w:rsidRPr="00573BA3" w:rsidRDefault="003534AF" w:rsidP="00865BBB">
      <w:pPr>
        <w:rPr>
          <w:b/>
          <w:bCs/>
        </w:rPr>
      </w:pPr>
    </w:p>
    <w:p w14:paraId="4B19589D" w14:textId="77777777" w:rsidR="003534AF" w:rsidRPr="00573BA3" w:rsidRDefault="003534AF" w:rsidP="00865BBB">
      <w:pPr>
        <w:rPr>
          <w:b/>
          <w:bCs/>
        </w:rPr>
      </w:pPr>
    </w:p>
    <w:p w14:paraId="34E79F80" w14:textId="77777777" w:rsidR="003534AF" w:rsidRPr="00573BA3" w:rsidRDefault="003534AF" w:rsidP="00865BBB">
      <w:pPr>
        <w:rPr>
          <w:b/>
          <w:bCs/>
        </w:rPr>
      </w:pPr>
    </w:p>
    <w:p w14:paraId="62C9B32A" w14:textId="77777777" w:rsidR="003534AF" w:rsidRPr="00573BA3" w:rsidRDefault="003534AF" w:rsidP="00865BBB">
      <w:pPr>
        <w:rPr>
          <w:b/>
          <w:bCs/>
        </w:rPr>
      </w:pPr>
    </w:p>
    <w:p w14:paraId="49061ABA" w14:textId="34DECF76" w:rsidR="00865BBB" w:rsidRPr="00573BA3" w:rsidRDefault="00865BBB" w:rsidP="00865BBB">
      <w:r w:rsidRPr="00573BA3">
        <w:rPr>
          <w:b/>
          <w:bCs/>
        </w:rPr>
        <w:lastRenderedPageBreak/>
        <w:t>Motions brought to the Senate floor:</w:t>
      </w:r>
    </w:p>
    <w:p w14:paraId="227B71AF" w14:textId="77777777" w:rsidR="0075540F" w:rsidRDefault="003534AF" w:rsidP="00865BBB">
      <w:pPr>
        <w:rPr>
          <w:b/>
          <w:bCs/>
        </w:rPr>
      </w:pPr>
      <w:r w:rsidRPr="00573BA3">
        <w:rPr>
          <w:noProof/>
        </w:rPr>
        <w:drawing>
          <wp:inline distT="0" distB="0" distL="0" distR="0" wp14:anchorId="4893D3AD" wp14:editId="7440BB08">
            <wp:extent cx="6309360" cy="2097405"/>
            <wp:effectExtent l="0" t="0" r="0" b="0"/>
            <wp:docPr id="135583355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833552" name="Picture 1" descr="A screenshot of a computer&#10;&#10;Description automatically generated"/>
                    <pic:cNvPicPr/>
                  </pic:nvPicPr>
                  <pic:blipFill>
                    <a:blip r:embed="rId8"/>
                    <a:stretch>
                      <a:fillRect/>
                    </a:stretch>
                  </pic:blipFill>
                  <pic:spPr>
                    <a:xfrm>
                      <a:off x="0" y="0"/>
                      <a:ext cx="6309360" cy="2097405"/>
                    </a:xfrm>
                    <a:prstGeom prst="rect">
                      <a:avLst/>
                    </a:prstGeom>
                  </pic:spPr>
                </pic:pic>
              </a:graphicData>
            </a:graphic>
          </wp:inline>
        </w:drawing>
      </w:r>
    </w:p>
    <w:p w14:paraId="478261D1" w14:textId="510EE61B" w:rsidR="0075540F" w:rsidRPr="0075540F" w:rsidRDefault="0075540F" w:rsidP="00865BBB">
      <w:r w:rsidRPr="0075540F">
        <w:t>Both policies listed were passed by U</w:t>
      </w:r>
      <w:r>
        <w:t xml:space="preserve">S on </w:t>
      </w:r>
      <w:r w:rsidR="00F35F88">
        <w:t>February 23</w:t>
      </w:r>
      <w:r>
        <w:t>, 2024 and a</w:t>
      </w:r>
      <w:r w:rsidRPr="0075540F">
        <w:t>pproved by the University President on March 22, 2024</w:t>
      </w:r>
      <w:r>
        <w:t>.</w:t>
      </w:r>
    </w:p>
    <w:p w14:paraId="403AC521" w14:textId="74C5134D" w:rsidR="00865BBB" w:rsidRPr="00573BA3" w:rsidRDefault="00865BBB" w:rsidP="00865BBB">
      <w:r w:rsidRPr="00573BA3">
        <w:rPr>
          <w:b/>
          <w:bCs/>
        </w:rPr>
        <w:t> </w:t>
      </w:r>
    </w:p>
    <w:p w14:paraId="29A9679E" w14:textId="77777777" w:rsidR="00865BBB" w:rsidRPr="00573BA3" w:rsidRDefault="00865BBB" w:rsidP="00865BBB">
      <w:r w:rsidRPr="00573BA3">
        <w:rPr>
          <w:b/>
          <w:bCs/>
        </w:rPr>
        <w:t>Other Significant Deliberation (Non-Motions):</w:t>
      </w:r>
    </w:p>
    <w:p w14:paraId="60BFC68E" w14:textId="77777777" w:rsidR="003534AF" w:rsidRPr="00573BA3" w:rsidRDefault="003534AF" w:rsidP="003534AF">
      <w:pPr>
        <w:pStyle w:val="ListParagraph"/>
        <w:numPr>
          <w:ilvl w:val="0"/>
          <w:numId w:val="7"/>
        </w:numPr>
        <w:spacing w:after="160" w:line="259" w:lineRule="auto"/>
      </w:pPr>
      <w:proofErr w:type="spellStart"/>
      <w:r w:rsidRPr="00573BA3">
        <w:t>FAPC</w:t>
      </w:r>
      <w:proofErr w:type="spellEnd"/>
      <w:r w:rsidRPr="00573BA3">
        <w:t xml:space="preserve"> was asked by the Office of the Provost to review the current Final Exam Policy.</w:t>
      </w:r>
    </w:p>
    <w:p w14:paraId="45471B9F" w14:textId="1774391D" w:rsidR="003534AF" w:rsidRPr="00573BA3" w:rsidRDefault="003534AF" w:rsidP="003534AF">
      <w:pPr>
        <w:pStyle w:val="ListParagraph"/>
        <w:numPr>
          <w:ilvl w:val="1"/>
          <w:numId w:val="7"/>
        </w:numPr>
        <w:spacing w:after="160" w:line="259" w:lineRule="auto"/>
      </w:pPr>
      <w:r w:rsidRPr="00573BA3">
        <w:t>A complaint was filed with the Provost’s office regarding a faculty member stating that their interpretation of the instructions provided by their chair was that they must give some type of assessment (e.g., a summative exam) during that time period that did not fit with their instructional methods, therefore was a violation of their academic freedom.</w:t>
      </w:r>
    </w:p>
    <w:p w14:paraId="53FB837E" w14:textId="77777777" w:rsidR="003534AF" w:rsidRPr="00573BA3" w:rsidRDefault="003534AF" w:rsidP="003534AF">
      <w:pPr>
        <w:pStyle w:val="ListParagraph"/>
        <w:numPr>
          <w:ilvl w:val="1"/>
          <w:numId w:val="7"/>
        </w:numPr>
        <w:spacing w:after="160" w:line="259" w:lineRule="auto"/>
      </w:pPr>
      <w:r w:rsidRPr="00573BA3">
        <w:t>The current Final Exam policy states, “Students should anticipate that each of their classes will have a final exam or a final class activity according to the schedules posted below.  Any changes to these schedules must be approved by an instructor's department chair and dean and be clearly listed in the instructor's syllabus distributed on the first day of class.”</w:t>
      </w:r>
    </w:p>
    <w:p w14:paraId="0B7B21BC" w14:textId="7533275F" w:rsidR="003534AF" w:rsidRPr="00573BA3" w:rsidRDefault="003534AF" w:rsidP="003534AF">
      <w:pPr>
        <w:pStyle w:val="ListParagraph"/>
        <w:numPr>
          <w:ilvl w:val="1"/>
          <w:numId w:val="7"/>
        </w:numPr>
      </w:pPr>
      <w:r w:rsidRPr="00573BA3">
        <w:t xml:space="preserve">Action: </w:t>
      </w:r>
      <w:proofErr w:type="spellStart"/>
      <w:r w:rsidRPr="00573BA3">
        <w:t>FAPC</w:t>
      </w:r>
      <w:proofErr w:type="spellEnd"/>
      <w:r w:rsidRPr="00573BA3">
        <w:t xml:space="preserve"> has asked the office of the Provost to send a clarifying email to the Deans and Department Heads to remind their faculty of the policy as written and </w:t>
      </w:r>
      <w:r w:rsidRPr="00573BA3">
        <w:t>did</w:t>
      </w:r>
      <w:r w:rsidRPr="00573BA3">
        <w:t xml:space="preserve"> not move forward with any changes to the policy as written.</w:t>
      </w:r>
    </w:p>
    <w:p w14:paraId="67546C91" w14:textId="77777777" w:rsidR="00573BA3" w:rsidRPr="00573BA3" w:rsidRDefault="00573BA3" w:rsidP="00573BA3">
      <w:pPr>
        <w:pStyle w:val="ListParagraph"/>
        <w:numPr>
          <w:ilvl w:val="0"/>
          <w:numId w:val="7"/>
        </w:numPr>
        <w:spacing w:after="160" w:line="259" w:lineRule="auto"/>
      </w:pPr>
      <w:r w:rsidRPr="00573BA3">
        <w:t xml:space="preserve">Also, faculty had brought to ECUS who then conveyed to </w:t>
      </w:r>
      <w:proofErr w:type="spellStart"/>
      <w:r w:rsidRPr="00573BA3">
        <w:t>FAPC</w:t>
      </w:r>
      <w:proofErr w:type="spellEnd"/>
      <w:r w:rsidRPr="00573BA3">
        <w:t xml:space="preserve"> about issues regarding </w:t>
      </w:r>
      <w:r w:rsidRPr="00573BA3">
        <w:rPr>
          <w:b/>
        </w:rPr>
        <w:t xml:space="preserve">inequalities in compensation for course overloads </w:t>
      </w:r>
      <w:r w:rsidRPr="00573BA3">
        <w:t>across colleges.</w:t>
      </w:r>
    </w:p>
    <w:p w14:paraId="2CD5E50C" w14:textId="2316855E" w:rsidR="00573BA3" w:rsidRPr="00573BA3" w:rsidRDefault="00573BA3" w:rsidP="00573BA3">
      <w:pPr>
        <w:pStyle w:val="ListParagraph"/>
        <w:numPr>
          <w:ilvl w:val="1"/>
          <w:numId w:val="7"/>
        </w:numPr>
        <w:spacing w:after="160" w:line="259" w:lineRule="auto"/>
      </w:pPr>
      <w:r w:rsidRPr="00573BA3">
        <w:t xml:space="preserve">For instance, </w:t>
      </w:r>
      <w:proofErr w:type="spellStart"/>
      <w:r w:rsidRPr="00573BA3">
        <w:t>A&amp;S</w:t>
      </w:r>
      <w:proofErr w:type="spellEnd"/>
      <w:r w:rsidRPr="00573BA3">
        <w:t xml:space="preserve"> pays adjunct rates (which </w:t>
      </w:r>
      <w:r w:rsidR="00971539" w:rsidRPr="00573BA3">
        <w:t>differ</w:t>
      </w:r>
      <w:r w:rsidRPr="00573BA3">
        <w:t xml:space="preserve"> per college) for overload courses and </w:t>
      </w:r>
      <w:proofErr w:type="spellStart"/>
      <w:r w:rsidRPr="00573BA3">
        <w:t>CoB</w:t>
      </w:r>
      <w:proofErr w:type="spellEnd"/>
      <w:r w:rsidRPr="00573BA3">
        <w:t xml:space="preserve"> pays 9% of their salaries. Obviously, that's a pretty stark difference, so it's worth looking at to see if there's a way we can make that more equitable.</w:t>
      </w:r>
    </w:p>
    <w:p w14:paraId="24C0C631" w14:textId="580221DC" w:rsidR="00573BA3" w:rsidRPr="00573BA3" w:rsidRDefault="00573BA3" w:rsidP="00573BA3">
      <w:pPr>
        <w:pStyle w:val="ListParagraph"/>
        <w:numPr>
          <w:ilvl w:val="2"/>
          <w:numId w:val="7"/>
        </w:numPr>
        <w:spacing w:after="160" w:line="259" w:lineRule="auto"/>
      </w:pPr>
      <w:r w:rsidRPr="00573BA3">
        <w:t xml:space="preserve">However, in conversation in </w:t>
      </w:r>
      <w:proofErr w:type="spellStart"/>
      <w:r w:rsidRPr="00573BA3">
        <w:t>FAPC</w:t>
      </w:r>
      <w:proofErr w:type="spellEnd"/>
      <w:r w:rsidRPr="00573BA3">
        <w:t xml:space="preserve">, it was also brought up </w:t>
      </w:r>
      <w:r w:rsidR="00971539" w:rsidRPr="00573BA3">
        <w:t>that</w:t>
      </w:r>
      <w:r w:rsidRPr="00573BA3">
        <w:t xml:space="preserve"> sweeping changes that could actually negatively impact those at the lowest ends of the pay ranges, which is not something we are willing to do.</w:t>
      </w:r>
    </w:p>
    <w:p w14:paraId="12800E8F" w14:textId="77777777" w:rsidR="00573BA3" w:rsidRPr="00573BA3" w:rsidRDefault="00573BA3" w:rsidP="00573BA3">
      <w:pPr>
        <w:pStyle w:val="ListParagraph"/>
        <w:numPr>
          <w:ilvl w:val="2"/>
          <w:numId w:val="7"/>
        </w:numPr>
        <w:spacing w:after="160" w:line="259" w:lineRule="auto"/>
      </w:pPr>
      <w:r w:rsidRPr="00573BA3">
        <w:t>Additionally, increasing pay may not be feasible for all colleges due to budget constraints.</w:t>
      </w:r>
    </w:p>
    <w:p w14:paraId="4958FC57" w14:textId="7490C37B" w:rsidR="003534AF" w:rsidRPr="00573BA3" w:rsidRDefault="00573BA3" w:rsidP="00573BA3">
      <w:pPr>
        <w:pStyle w:val="ListParagraph"/>
        <w:numPr>
          <w:ilvl w:val="1"/>
          <w:numId w:val="7"/>
        </w:numPr>
      </w:pPr>
      <w:r w:rsidRPr="00573BA3">
        <w:rPr>
          <w:b/>
        </w:rPr>
        <w:t>Action:</w:t>
      </w:r>
      <w:r w:rsidRPr="00573BA3">
        <w:t xml:space="preserve"> </w:t>
      </w:r>
      <w:proofErr w:type="spellStart"/>
      <w:r w:rsidRPr="00573BA3">
        <w:t>FAPC</w:t>
      </w:r>
      <w:proofErr w:type="spellEnd"/>
      <w:r w:rsidRPr="00573BA3">
        <w:t xml:space="preserve"> </w:t>
      </w:r>
      <w:r w:rsidRPr="00573BA3">
        <w:t>should speak with</w:t>
      </w:r>
      <w:r w:rsidRPr="00573BA3">
        <w:t xml:space="preserve"> Dr. Roberts’ office to assist us with some data collection to determine salary ranges by college and department as well as looking into the other issue brought by faculty to ECUS of inequitable compensation for program coordinators/admin duties across the colleges and departments.</w:t>
      </w:r>
      <w:r w:rsidRPr="00573BA3">
        <w:t xml:space="preserve"> No fu</w:t>
      </w:r>
      <w:r w:rsidR="00947B51">
        <w:t>r</w:t>
      </w:r>
      <w:r w:rsidRPr="00573BA3">
        <w:t>ther action was taken on this item in 2023/2024.</w:t>
      </w:r>
    </w:p>
    <w:p w14:paraId="2B0D3794" w14:textId="681DCBC5" w:rsidR="00573BA3" w:rsidRPr="00573BA3" w:rsidRDefault="00573BA3" w:rsidP="00947B51">
      <w:pPr>
        <w:pStyle w:val="ListParagraph"/>
        <w:numPr>
          <w:ilvl w:val="0"/>
          <w:numId w:val="3"/>
        </w:numPr>
        <w:spacing w:after="160" w:line="259" w:lineRule="auto"/>
      </w:pPr>
      <w:r w:rsidRPr="00573BA3">
        <w:t>Lastly, we briefly discussed</w:t>
      </w:r>
      <w:r w:rsidRPr="00947B51">
        <w:rPr>
          <w:b/>
          <w:bCs/>
        </w:rPr>
        <w:t xml:space="preserve"> sabbaticals and professional leave </w:t>
      </w:r>
      <w:r w:rsidRPr="00573BA3">
        <w:t>as an informational item</w:t>
      </w:r>
      <w:r w:rsidR="00947B51">
        <w:t xml:space="preserve"> after c</w:t>
      </w:r>
      <w:r w:rsidRPr="00573BA3">
        <w:t>oncern</w:t>
      </w:r>
      <w:r w:rsidR="00947B51">
        <w:t>s were</w:t>
      </w:r>
      <w:r w:rsidRPr="00573BA3">
        <w:t xml:space="preserve"> brought to us by several faculty members regarding the number of </w:t>
      </w:r>
      <w:r w:rsidRPr="00573BA3">
        <w:lastRenderedPageBreak/>
        <w:t>applicants versus the number of applications granted this year in comparison to the past several years</w:t>
      </w:r>
      <w:r>
        <w:t>.</w:t>
      </w:r>
    </w:p>
    <w:p w14:paraId="0BDC47A2" w14:textId="7DF58ECD" w:rsidR="00573BA3" w:rsidRPr="00573BA3" w:rsidRDefault="00573BA3" w:rsidP="00947B51">
      <w:pPr>
        <w:pStyle w:val="ListParagraph"/>
        <w:numPr>
          <w:ilvl w:val="1"/>
          <w:numId w:val="3"/>
        </w:numPr>
        <w:spacing w:after="160" w:line="259" w:lineRule="auto"/>
      </w:pPr>
      <w:r w:rsidRPr="00573BA3">
        <w:t>Information from Provost provided to help address those concerns for your colleagues</w:t>
      </w:r>
      <w:r>
        <w:t xml:space="preserve">: </w:t>
      </w:r>
      <w:r w:rsidRPr="00573BA3">
        <w:t xml:space="preserve">They increased total number of awards from 2015-2016 academic year with 8 professional leaves (6 from COAS, 1 from </w:t>
      </w:r>
      <w:proofErr w:type="spellStart"/>
      <w:r w:rsidRPr="00573BA3">
        <w:t>COBT</w:t>
      </w:r>
      <w:proofErr w:type="spellEnd"/>
      <w:r w:rsidRPr="00573BA3">
        <w:t xml:space="preserve">, and 1 from </w:t>
      </w:r>
      <w:proofErr w:type="spellStart"/>
      <w:r w:rsidRPr="00573BA3">
        <w:t>COHS</w:t>
      </w:r>
      <w:proofErr w:type="spellEnd"/>
      <w:r w:rsidRPr="00573BA3">
        <w:t xml:space="preserve">) to 12 professional leaves in 2023 (10 from COAS, 1 from </w:t>
      </w:r>
      <w:proofErr w:type="spellStart"/>
      <w:r w:rsidRPr="00573BA3">
        <w:t>COBT</w:t>
      </w:r>
      <w:proofErr w:type="spellEnd"/>
      <w:r w:rsidRPr="00573BA3">
        <w:t xml:space="preserve">, and 1 from </w:t>
      </w:r>
      <w:proofErr w:type="spellStart"/>
      <w:r w:rsidRPr="00573BA3">
        <w:t>COHS</w:t>
      </w:r>
      <w:proofErr w:type="spellEnd"/>
      <w:r w:rsidRPr="00573BA3">
        <w:t>).</w:t>
      </w:r>
      <w:r>
        <w:t xml:space="preserve"> </w:t>
      </w:r>
      <w:r w:rsidRPr="00573BA3">
        <w:t>“The funds are simply not available [at this time] to increase the required cost of additional awards.”</w:t>
      </w:r>
      <w:r>
        <w:t xml:space="preserve"> </w:t>
      </w:r>
      <w:r w:rsidRPr="00573BA3">
        <w:t>There is no guarantee of being awarded a sabbatical after tenure as it’s a competitive process</w:t>
      </w:r>
      <w:r>
        <w:t>. It was suggested by the Provost that Colleges</w:t>
      </w:r>
      <w:r w:rsidRPr="00573BA3">
        <w:t xml:space="preserve"> should work on a ranking system of applications so that they put forward only the strongest applications with special consideration given for those who have not been awarded professional leave previously.</w:t>
      </w:r>
    </w:p>
    <w:p w14:paraId="194C2CA4" w14:textId="77777777" w:rsidR="003534AF" w:rsidRPr="00573BA3" w:rsidRDefault="003534AF" w:rsidP="00865BBB">
      <w:pPr>
        <w:rPr>
          <w:b/>
          <w:bCs/>
        </w:rPr>
      </w:pPr>
    </w:p>
    <w:p w14:paraId="225A76E4" w14:textId="77777777" w:rsidR="00865BBB" w:rsidRPr="00573BA3" w:rsidRDefault="00865BBB" w:rsidP="00865BBB">
      <w:r w:rsidRPr="00573BA3">
        <w:rPr>
          <w:b/>
          <w:bCs/>
        </w:rPr>
        <w:t>Committee Reflections:</w:t>
      </w:r>
    </w:p>
    <w:p w14:paraId="6B67229E" w14:textId="17011848" w:rsidR="00573BA3" w:rsidRDefault="00A70F2E" w:rsidP="00865BBB">
      <w:proofErr w:type="spellStart"/>
      <w:r>
        <w:t>FAPC</w:t>
      </w:r>
      <w:proofErr w:type="spellEnd"/>
      <w:r>
        <w:t xml:space="preserve"> was extremely productive this academic year, working together as a team alongside ECUS and the Office of the Provost to successfully pass two motions through US and open lines of communication with the Provost’s office regarding several relevant concerns brought from our constituents. There are two points, though, where we could have improved:</w:t>
      </w:r>
    </w:p>
    <w:p w14:paraId="7F9FDEFA" w14:textId="5E0AFD71" w:rsidR="00947B51" w:rsidRDefault="00A70F2E" w:rsidP="00947B51">
      <w:pPr>
        <w:pStyle w:val="ListParagraph"/>
        <w:numPr>
          <w:ilvl w:val="0"/>
          <w:numId w:val="3"/>
        </w:numPr>
      </w:pPr>
      <w:r>
        <w:t xml:space="preserve">Given our charge, we spent the majority of our time working on items coming directly from the Office of the Provost in comparison to discussing and affecting </w:t>
      </w:r>
      <w:r w:rsidR="00947B51">
        <w:t>action items</w:t>
      </w:r>
      <w:r>
        <w:t xml:space="preserve"> that came from </w:t>
      </w:r>
      <w:r w:rsidR="00947B51">
        <w:t>our constituents</w:t>
      </w:r>
      <w:r>
        <w:t xml:space="preserve">. </w:t>
      </w:r>
    </w:p>
    <w:p w14:paraId="49D5216B" w14:textId="6FC9ACD8" w:rsidR="00A70F2E" w:rsidRDefault="00A70F2E" w:rsidP="00A70F2E">
      <w:pPr>
        <w:pStyle w:val="ListParagraph"/>
        <w:numPr>
          <w:ilvl w:val="0"/>
          <w:numId w:val="3"/>
        </w:numPr>
      </w:pPr>
      <w:r>
        <w:t>Attempting to work with HR proved quite difficult as they would go long periods of time without responding to emails and when they did reply, it was to let us know they had made no progress due to either awaiting responses from others or not having time. It would be really helpful to establish a better line of communication with HR for policies that directly involve needing their assistance in the future.</w:t>
      </w:r>
    </w:p>
    <w:p w14:paraId="4135BE73" w14:textId="77777777" w:rsidR="00A70F2E" w:rsidRPr="00A70F2E" w:rsidRDefault="00A70F2E" w:rsidP="00865BBB"/>
    <w:p w14:paraId="5AF7E718" w14:textId="77777777" w:rsidR="00865BBB" w:rsidRPr="00573BA3" w:rsidRDefault="00865BBB" w:rsidP="00865BBB">
      <w:r w:rsidRPr="00573BA3">
        <w:rPr>
          <w:b/>
          <w:bCs/>
        </w:rPr>
        <w:t>Committee Recommendations:</w:t>
      </w:r>
    </w:p>
    <w:p w14:paraId="58D265F2" w14:textId="0D944E21" w:rsidR="00A70F2E" w:rsidRPr="00947B51" w:rsidRDefault="00947B51" w:rsidP="00947B51">
      <w:pPr>
        <w:pStyle w:val="ListParagraph"/>
        <w:numPr>
          <w:ilvl w:val="0"/>
          <w:numId w:val="8"/>
        </w:numPr>
        <w:rPr>
          <w:b/>
          <w:bCs/>
        </w:rPr>
      </w:pPr>
      <w:r w:rsidRPr="00947B51">
        <w:rPr>
          <w:b/>
          <w:bCs/>
        </w:rPr>
        <w:t>Emeritus Status Policy</w:t>
      </w:r>
    </w:p>
    <w:p w14:paraId="67747CC1" w14:textId="564D6AC9" w:rsidR="00947B51" w:rsidRDefault="00947B51" w:rsidP="00947B51">
      <w:pPr>
        <w:pStyle w:val="ListParagraph"/>
        <w:numPr>
          <w:ilvl w:val="1"/>
          <w:numId w:val="8"/>
        </w:numPr>
      </w:pPr>
      <w:proofErr w:type="spellStart"/>
      <w:r>
        <w:t>FAPC</w:t>
      </w:r>
      <w:proofErr w:type="spellEnd"/>
      <w:r>
        <w:t xml:space="preserve"> drafted changes to the policy to reflect the changes to the timeline. Please review said policy as a committee and, if all agree, move to get that policy into a motion for as early as possible in the next academic year, please.</w:t>
      </w:r>
    </w:p>
    <w:p w14:paraId="2D011883" w14:textId="62CAE145" w:rsidR="00947B51" w:rsidRPr="00EE6168" w:rsidRDefault="00947B51" w:rsidP="00947B51">
      <w:pPr>
        <w:pStyle w:val="ListParagraph"/>
        <w:numPr>
          <w:ilvl w:val="0"/>
          <w:numId w:val="3"/>
        </w:numPr>
        <w:spacing w:after="160" w:line="259" w:lineRule="auto"/>
        <w:ind w:left="720"/>
        <w:rPr>
          <w:rStyle w:val="Hyperlink"/>
          <w:color w:val="auto"/>
          <w:u w:val="none"/>
        </w:rPr>
      </w:pPr>
      <w:r>
        <w:rPr>
          <w:b/>
          <w:bCs/>
        </w:rPr>
        <w:t>E</w:t>
      </w:r>
      <w:r w:rsidRPr="00947B51">
        <w:rPr>
          <w:b/>
          <w:bCs/>
        </w:rPr>
        <w:t xml:space="preserve">xtension of our work with </w:t>
      </w:r>
      <w:proofErr w:type="spellStart"/>
      <w:r w:rsidRPr="00947B51">
        <w:rPr>
          <w:b/>
          <w:bCs/>
        </w:rPr>
        <w:t>SRIS</w:t>
      </w:r>
      <w:proofErr w:type="spellEnd"/>
      <w:r w:rsidRPr="00947B51">
        <w:rPr>
          <w:b/>
          <w:bCs/>
        </w:rPr>
        <w:t xml:space="preserve"> and </w:t>
      </w:r>
      <w:proofErr w:type="spellStart"/>
      <w:r w:rsidRPr="00947B51">
        <w:rPr>
          <w:b/>
          <w:bCs/>
        </w:rPr>
        <w:t>IFRs</w:t>
      </w:r>
      <w:proofErr w:type="spellEnd"/>
      <w:r w:rsidR="00EE6168">
        <w:rPr>
          <w:b/>
          <w:bCs/>
        </w:rPr>
        <w:t>:</w:t>
      </w:r>
      <w:r w:rsidRPr="00947B51">
        <w:rPr>
          <w:b/>
          <w:bCs/>
        </w:rPr>
        <w:t xml:space="preserve"> </w:t>
      </w:r>
      <w:r w:rsidRPr="00EE6168">
        <w:rPr>
          <w:color w:val="000000"/>
          <w:shd w:val="clear" w:color="auto" w:fill="FFFFFF"/>
        </w:rPr>
        <w:t>the </w:t>
      </w:r>
      <w:hyperlink r:id="rId9" w:tgtFrame="_blank" w:tooltip="Original URL: https://gcsu.smartcatalogiq.com/en/policy-manual/policy-manual/academic-affairs/employmentpolicies-procedures-benefits/performance-evaluations-administrators-and-faculty/faculty-performance-evaluation/teaching-effectiveness-assessing/teaching-eff" w:history="1">
        <w:r w:rsidRPr="00EE6168">
          <w:rPr>
            <w:rStyle w:val="Hyperlink"/>
            <w:bdr w:val="none" w:sz="0" w:space="0" w:color="auto" w:frame="1"/>
            <w:shd w:val="clear" w:color="auto" w:fill="FFFFFF"/>
          </w:rPr>
          <w:t xml:space="preserve">existing policy on using more than </w:t>
        </w:r>
        <w:proofErr w:type="spellStart"/>
        <w:r w:rsidRPr="00EE6168">
          <w:rPr>
            <w:rStyle w:val="Hyperlink"/>
            <w:bdr w:val="none" w:sz="0" w:space="0" w:color="auto" w:frame="1"/>
            <w:shd w:val="clear" w:color="auto" w:fill="FFFFFF"/>
          </w:rPr>
          <w:t>SRIS</w:t>
        </w:r>
        <w:proofErr w:type="spellEnd"/>
        <w:r w:rsidRPr="00EE6168">
          <w:rPr>
            <w:rStyle w:val="Hyperlink"/>
            <w:bdr w:val="none" w:sz="0" w:space="0" w:color="auto" w:frame="1"/>
            <w:shd w:val="clear" w:color="auto" w:fill="FFFFFF"/>
          </w:rPr>
          <w:t xml:space="preserve"> to measure teaching effectiveness</w:t>
        </w:r>
      </w:hyperlink>
    </w:p>
    <w:p w14:paraId="1E161BAE" w14:textId="4F61F937" w:rsidR="00947B51" w:rsidRPr="00947B51" w:rsidRDefault="00EE6168" w:rsidP="00947B51">
      <w:pPr>
        <w:pStyle w:val="ListParagraph"/>
        <w:numPr>
          <w:ilvl w:val="1"/>
          <w:numId w:val="3"/>
        </w:numPr>
        <w:spacing w:after="160" w:line="259" w:lineRule="auto"/>
        <w:ind w:left="1440"/>
      </w:pPr>
      <w:proofErr w:type="spellStart"/>
      <w:r>
        <w:t>FAPC</w:t>
      </w:r>
      <w:proofErr w:type="spellEnd"/>
      <w:r w:rsidR="00947B51" w:rsidRPr="00947B51">
        <w:t xml:space="preserve"> </w:t>
      </w:r>
      <w:r>
        <w:t>sh</w:t>
      </w:r>
      <w:r w:rsidR="00947B51" w:rsidRPr="00947B51">
        <w:t>ould work with CTL to create a link in the policy manual linked above to a list of viable, effective methods of evaluation of teaching effectiveness that is housed on the CTL website (as to avoid needing to revise policy in order to modify the list) so that faculty and supervisors can work together to find the best fit for them.</w:t>
      </w:r>
    </w:p>
    <w:p w14:paraId="5A989C1C" w14:textId="3372D230" w:rsidR="00947B51" w:rsidRDefault="00947B51" w:rsidP="00947B51">
      <w:pPr>
        <w:pStyle w:val="ListParagraph"/>
        <w:numPr>
          <w:ilvl w:val="0"/>
          <w:numId w:val="8"/>
        </w:numPr>
      </w:pPr>
      <w:r>
        <w:t xml:space="preserve">Though this will be challenging, I would encourage </w:t>
      </w:r>
      <w:proofErr w:type="spellStart"/>
      <w:r>
        <w:t>FAPC</w:t>
      </w:r>
      <w:proofErr w:type="spellEnd"/>
      <w:r>
        <w:t xml:space="preserve"> to work</w:t>
      </w:r>
      <w:r w:rsidRPr="00573BA3">
        <w:t xml:space="preserve"> with Dr. Roberts’ office to assist with data collection to determine </w:t>
      </w:r>
      <w:r w:rsidRPr="00947B51">
        <w:rPr>
          <w:b/>
          <w:bCs/>
        </w:rPr>
        <w:t xml:space="preserve">salary ranges </w:t>
      </w:r>
      <w:r w:rsidRPr="00947B51">
        <w:rPr>
          <w:b/>
          <w:bCs/>
        </w:rPr>
        <w:t>of adjunct faculty</w:t>
      </w:r>
      <w:r>
        <w:t xml:space="preserve"> </w:t>
      </w:r>
      <w:r w:rsidRPr="00573BA3">
        <w:t xml:space="preserve">by college and department as well as looking into </w:t>
      </w:r>
      <w:r>
        <w:t xml:space="preserve">possible </w:t>
      </w:r>
      <w:r w:rsidRPr="00947B51">
        <w:rPr>
          <w:b/>
          <w:bCs/>
        </w:rPr>
        <w:t>inequitable compensation for program coordinators/admin duties</w:t>
      </w:r>
      <w:r w:rsidRPr="00573BA3">
        <w:t xml:space="preserve"> across the colleges and departments.</w:t>
      </w:r>
    </w:p>
    <w:p w14:paraId="40F09076" w14:textId="7C6471ED" w:rsidR="00947B51" w:rsidRDefault="00947B51" w:rsidP="00947B51">
      <w:pPr>
        <w:pStyle w:val="ListParagraph"/>
        <w:numPr>
          <w:ilvl w:val="0"/>
          <w:numId w:val="8"/>
        </w:numPr>
      </w:pPr>
      <w:r>
        <w:t xml:space="preserve">The </w:t>
      </w:r>
      <w:r>
        <w:t>Policies, Procedures and Practices Manual (</w:t>
      </w:r>
      <w:proofErr w:type="spellStart"/>
      <w:r>
        <w:t>PPPM</w:t>
      </w:r>
      <w:proofErr w:type="spellEnd"/>
      <w:r>
        <w:t>)</w:t>
      </w:r>
      <w:r>
        <w:t xml:space="preserve"> needs to be thoroughly reviewed and more transparency should exist regarding who has access to the manual and who is responsible for making changes to the policies in the </w:t>
      </w:r>
      <w:proofErr w:type="spellStart"/>
      <w:r>
        <w:t>PPPM</w:t>
      </w:r>
      <w:proofErr w:type="spellEnd"/>
      <w:r>
        <w:t>.</w:t>
      </w:r>
    </w:p>
    <w:p w14:paraId="5CD47899" w14:textId="113AF519" w:rsidR="00947B51" w:rsidRPr="00A70F2E" w:rsidRDefault="00947B51" w:rsidP="00947B51">
      <w:pPr>
        <w:pStyle w:val="ListParagraph"/>
        <w:numPr>
          <w:ilvl w:val="1"/>
          <w:numId w:val="8"/>
        </w:numPr>
      </w:pPr>
      <w:r>
        <w:lastRenderedPageBreak/>
        <w:t xml:space="preserve">It was clear from the Emeritus Status Policy that changes made in the </w:t>
      </w:r>
      <w:r w:rsidR="00A61F37">
        <w:t>US</w:t>
      </w:r>
      <w:r>
        <w:t xml:space="preserve"> consistently reflected in the </w:t>
      </w:r>
      <w:proofErr w:type="spellStart"/>
      <w:r>
        <w:t>PPPM</w:t>
      </w:r>
      <w:proofErr w:type="spellEnd"/>
      <w:r>
        <w:t xml:space="preserve"> and that </w:t>
      </w:r>
      <w:r w:rsidR="00A61F37">
        <w:t xml:space="preserve">changes are made the </w:t>
      </w:r>
      <w:proofErr w:type="spellStart"/>
      <w:r w:rsidR="00A61F37">
        <w:t>PPPM</w:t>
      </w:r>
      <w:proofErr w:type="spellEnd"/>
      <w:r w:rsidR="00A61F37">
        <w:t xml:space="preserve"> without US’s knowledge. It’s vital that faculty and staff are able to be kept informed regarding policies and procedures that directly impact them and that the </w:t>
      </w:r>
      <w:proofErr w:type="spellStart"/>
      <w:r w:rsidR="00A61F37">
        <w:t>PPPM</w:t>
      </w:r>
      <w:proofErr w:type="spellEnd"/>
      <w:r w:rsidR="00A61F37">
        <w:t xml:space="preserve"> that is publicly available reflects the most up-to-date policies and procedures passed by US to avoid confusion.</w:t>
      </w:r>
    </w:p>
    <w:p w14:paraId="3789A050" w14:textId="77777777" w:rsidR="00A70F2E" w:rsidRDefault="00A70F2E" w:rsidP="00865BBB">
      <w:pPr>
        <w:rPr>
          <w:i/>
          <w:iCs/>
        </w:rPr>
      </w:pPr>
    </w:p>
    <w:p w14:paraId="726640CF" w14:textId="42A229F2" w:rsidR="00F22337" w:rsidRPr="00A61F37" w:rsidRDefault="00A61F37" w:rsidP="00F63903">
      <w:r>
        <w:t xml:space="preserve"> </w:t>
      </w:r>
    </w:p>
    <w:sectPr w:rsidR="00F22337" w:rsidRPr="00A61F37" w:rsidSect="00EC5CF8">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3A799" w14:textId="77777777" w:rsidR="00A927FD" w:rsidRDefault="00A927FD" w:rsidP="005844EC">
      <w:r>
        <w:separator/>
      </w:r>
    </w:p>
  </w:endnote>
  <w:endnote w:type="continuationSeparator" w:id="0">
    <w:p w14:paraId="63AEEE87" w14:textId="77777777" w:rsidR="00A927FD" w:rsidRDefault="00A927FD" w:rsidP="0058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5726A" w14:textId="5C1CCBAB" w:rsidR="005844EC" w:rsidRPr="005844EC" w:rsidRDefault="006712BF" w:rsidP="005844EC">
    <w:pPr>
      <w:pStyle w:val="Footer"/>
      <w:tabs>
        <w:tab w:val="clear" w:pos="8640"/>
        <w:tab w:val="right" w:pos="9900"/>
      </w:tabs>
      <w:rPr>
        <w:sz w:val="16"/>
        <w:szCs w:val="16"/>
      </w:rPr>
    </w:pPr>
    <w:proofErr w:type="spellStart"/>
    <w:r>
      <w:rPr>
        <w:rStyle w:val="PageNumber"/>
        <w:sz w:val="16"/>
        <w:szCs w:val="16"/>
      </w:rPr>
      <w:t>FAPC</w:t>
    </w:r>
    <w:proofErr w:type="spellEnd"/>
    <w:r>
      <w:rPr>
        <w:rStyle w:val="PageNumber"/>
        <w:sz w:val="16"/>
        <w:szCs w:val="16"/>
      </w:rPr>
      <w:t xml:space="preserve"> Annual Report 2023/2024</w:t>
    </w:r>
    <w:r w:rsidR="005844EC" w:rsidRPr="005844EC">
      <w:rPr>
        <w:rStyle w:val="PageNumber"/>
        <w:sz w:val="16"/>
        <w:szCs w:val="16"/>
      </w:rPr>
      <w:tab/>
    </w:r>
    <w:r w:rsidR="005844EC" w:rsidRPr="005844EC">
      <w:rPr>
        <w:sz w:val="16"/>
        <w:szCs w:val="16"/>
      </w:rPr>
      <w:tab/>
      <w:t xml:space="preserve">Page </w:t>
    </w:r>
    <w:r w:rsidR="005844EC" w:rsidRPr="005844EC">
      <w:rPr>
        <w:sz w:val="16"/>
        <w:szCs w:val="16"/>
      </w:rPr>
      <w:fldChar w:fldCharType="begin"/>
    </w:r>
    <w:r w:rsidR="005844EC" w:rsidRPr="005844EC">
      <w:rPr>
        <w:sz w:val="16"/>
        <w:szCs w:val="16"/>
      </w:rPr>
      <w:instrText xml:space="preserve"> PAGE  \* Arabic  \* MERGEFORMAT </w:instrText>
    </w:r>
    <w:r w:rsidR="005844EC" w:rsidRPr="005844EC">
      <w:rPr>
        <w:sz w:val="16"/>
        <w:szCs w:val="16"/>
      </w:rPr>
      <w:fldChar w:fldCharType="separate"/>
    </w:r>
    <w:r w:rsidR="00DE72EA">
      <w:rPr>
        <w:noProof/>
        <w:sz w:val="16"/>
        <w:szCs w:val="16"/>
      </w:rPr>
      <w:t>1</w:t>
    </w:r>
    <w:r w:rsidR="005844EC" w:rsidRPr="005844EC">
      <w:rPr>
        <w:sz w:val="16"/>
        <w:szCs w:val="16"/>
      </w:rPr>
      <w:fldChar w:fldCharType="end"/>
    </w:r>
    <w:r w:rsidR="005844EC" w:rsidRPr="005844EC">
      <w:rPr>
        <w:sz w:val="16"/>
        <w:szCs w:val="16"/>
      </w:rPr>
      <w:t xml:space="preserve"> of </w:t>
    </w:r>
    <w:r w:rsidR="005844EC" w:rsidRPr="005844EC">
      <w:rPr>
        <w:sz w:val="16"/>
        <w:szCs w:val="16"/>
      </w:rPr>
      <w:fldChar w:fldCharType="begin"/>
    </w:r>
    <w:r w:rsidR="005844EC" w:rsidRPr="005844EC">
      <w:rPr>
        <w:sz w:val="16"/>
        <w:szCs w:val="16"/>
      </w:rPr>
      <w:instrText xml:space="preserve"> NUMPAGES  \* Arabic  \* MERGEFORMAT </w:instrText>
    </w:r>
    <w:r w:rsidR="005844EC" w:rsidRPr="005844EC">
      <w:rPr>
        <w:sz w:val="16"/>
        <w:szCs w:val="16"/>
      </w:rPr>
      <w:fldChar w:fldCharType="separate"/>
    </w:r>
    <w:r w:rsidR="00DE72EA">
      <w:rPr>
        <w:noProof/>
        <w:sz w:val="16"/>
        <w:szCs w:val="16"/>
      </w:rPr>
      <w:t>1</w:t>
    </w:r>
    <w:r w:rsidR="005844EC" w:rsidRPr="005844EC">
      <w:rPr>
        <w:sz w:val="16"/>
        <w:szCs w:val="16"/>
      </w:rPr>
      <w:fldChar w:fldCharType="end"/>
    </w:r>
  </w:p>
  <w:p w14:paraId="6A233841" w14:textId="77777777" w:rsidR="005844EC" w:rsidRDefault="0058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14B1A" w14:textId="77777777" w:rsidR="00A927FD" w:rsidRDefault="00A927FD" w:rsidP="005844EC">
      <w:r>
        <w:separator/>
      </w:r>
    </w:p>
  </w:footnote>
  <w:footnote w:type="continuationSeparator" w:id="0">
    <w:p w14:paraId="237C402D" w14:textId="77777777" w:rsidR="00A927FD" w:rsidRDefault="00A927FD" w:rsidP="0058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139D5"/>
    <w:multiLevelType w:val="multilevel"/>
    <w:tmpl w:val="BACC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62E93"/>
    <w:multiLevelType w:val="hybridMultilevel"/>
    <w:tmpl w:val="CD7C8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E3324"/>
    <w:multiLevelType w:val="hybridMultilevel"/>
    <w:tmpl w:val="5A584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F39CE"/>
    <w:multiLevelType w:val="hybridMultilevel"/>
    <w:tmpl w:val="97FC3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04558"/>
    <w:multiLevelType w:val="hybridMultilevel"/>
    <w:tmpl w:val="5A969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32D51"/>
    <w:multiLevelType w:val="hybridMultilevel"/>
    <w:tmpl w:val="8E723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C0D6B64"/>
    <w:multiLevelType w:val="hybridMultilevel"/>
    <w:tmpl w:val="506A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CA58DA"/>
    <w:multiLevelType w:val="hybridMultilevel"/>
    <w:tmpl w:val="ACBACD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3312977">
    <w:abstractNumId w:val="0"/>
  </w:num>
  <w:num w:numId="2" w16cid:durableId="550382549">
    <w:abstractNumId w:val="4"/>
  </w:num>
  <w:num w:numId="3" w16cid:durableId="1821575095">
    <w:abstractNumId w:val="7"/>
  </w:num>
  <w:num w:numId="4" w16cid:durableId="1807046095">
    <w:abstractNumId w:val="3"/>
  </w:num>
  <w:num w:numId="5" w16cid:durableId="2041274883">
    <w:abstractNumId w:val="5"/>
  </w:num>
  <w:num w:numId="6" w16cid:durableId="282881644">
    <w:abstractNumId w:val="6"/>
  </w:num>
  <w:num w:numId="7" w16cid:durableId="1378698428">
    <w:abstractNumId w:val="1"/>
  </w:num>
  <w:num w:numId="8" w16cid:durableId="510990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C8"/>
    <w:rsid w:val="00045F8D"/>
    <w:rsid w:val="00062931"/>
    <w:rsid w:val="0006353D"/>
    <w:rsid w:val="000762FB"/>
    <w:rsid w:val="00086046"/>
    <w:rsid w:val="000A738A"/>
    <w:rsid w:val="000B1054"/>
    <w:rsid w:val="000F0FC2"/>
    <w:rsid w:val="00112766"/>
    <w:rsid w:val="00125F69"/>
    <w:rsid w:val="00142F93"/>
    <w:rsid w:val="0018199F"/>
    <w:rsid w:val="001A1FB0"/>
    <w:rsid w:val="001D17C8"/>
    <w:rsid w:val="002878C3"/>
    <w:rsid w:val="002F4D31"/>
    <w:rsid w:val="003534AF"/>
    <w:rsid w:val="00385328"/>
    <w:rsid w:val="003B08B7"/>
    <w:rsid w:val="003D364C"/>
    <w:rsid w:val="004163EB"/>
    <w:rsid w:val="00445DDC"/>
    <w:rsid w:val="00474C6D"/>
    <w:rsid w:val="004B7513"/>
    <w:rsid w:val="00560626"/>
    <w:rsid w:val="00573BA3"/>
    <w:rsid w:val="005844EC"/>
    <w:rsid w:val="00636D1D"/>
    <w:rsid w:val="00662397"/>
    <w:rsid w:val="00663DDF"/>
    <w:rsid w:val="006712BF"/>
    <w:rsid w:val="006A5698"/>
    <w:rsid w:val="006B68AB"/>
    <w:rsid w:val="0071470B"/>
    <w:rsid w:val="00730906"/>
    <w:rsid w:val="0075540F"/>
    <w:rsid w:val="00766362"/>
    <w:rsid w:val="00772291"/>
    <w:rsid w:val="007B112C"/>
    <w:rsid w:val="00800A29"/>
    <w:rsid w:val="00812246"/>
    <w:rsid w:val="00865BBB"/>
    <w:rsid w:val="00892390"/>
    <w:rsid w:val="00927C13"/>
    <w:rsid w:val="00947B51"/>
    <w:rsid w:val="00971539"/>
    <w:rsid w:val="00994005"/>
    <w:rsid w:val="009D505E"/>
    <w:rsid w:val="00A15D0C"/>
    <w:rsid w:val="00A55E3F"/>
    <w:rsid w:val="00A60D44"/>
    <w:rsid w:val="00A61F37"/>
    <w:rsid w:val="00A6212C"/>
    <w:rsid w:val="00A64CE0"/>
    <w:rsid w:val="00A70F2E"/>
    <w:rsid w:val="00A927FD"/>
    <w:rsid w:val="00AB4BF5"/>
    <w:rsid w:val="00B229F6"/>
    <w:rsid w:val="00B74BA1"/>
    <w:rsid w:val="00BB0B47"/>
    <w:rsid w:val="00BB7094"/>
    <w:rsid w:val="00C005E1"/>
    <w:rsid w:val="00C72903"/>
    <w:rsid w:val="00C8337A"/>
    <w:rsid w:val="00CD239C"/>
    <w:rsid w:val="00D455A2"/>
    <w:rsid w:val="00DE72EA"/>
    <w:rsid w:val="00E70A14"/>
    <w:rsid w:val="00E740E7"/>
    <w:rsid w:val="00E85F63"/>
    <w:rsid w:val="00EC5CF8"/>
    <w:rsid w:val="00EE6168"/>
    <w:rsid w:val="00F072D0"/>
    <w:rsid w:val="00F22337"/>
    <w:rsid w:val="00F35F88"/>
    <w:rsid w:val="00F63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3D7D9F"/>
  <w15:docId w15:val="{23258B59-D224-A345-B1DE-DE5C74D7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17C8"/>
    <w:pPr>
      <w:tabs>
        <w:tab w:val="center" w:pos="4320"/>
        <w:tab w:val="right" w:pos="8640"/>
      </w:tabs>
    </w:pPr>
  </w:style>
  <w:style w:type="character" w:styleId="Hyperlink">
    <w:name w:val="Hyperlink"/>
    <w:basedOn w:val="DefaultParagraphFont"/>
    <w:rsid w:val="001D17C8"/>
    <w:rPr>
      <w:color w:val="0000FF"/>
      <w:u w:val="single"/>
    </w:rPr>
  </w:style>
  <w:style w:type="character" w:styleId="PageNumber">
    <w:name w:val="page number"/>
    <w:basedOn w:val="DefaultParagraphFont"/>
    <w:rsid w:val="001D17C8"/>
  </w:style>
  <w:style w:type="paragraph" w:styleId="Header">
    <w:name w:val="header"/>
    <w:basedOn w:val="Normal"/>
    <w:link w:val="HeaderChar"/>
    <w:rsid w:val="005844EC"/>
    <w:pPr>
      <w:tabs>
        <w:tab w:val="center" w:pos="4680"/>
        <w:tab w:val="right" w:pos="9360"/>
      </w:tabs>
    </w:pPr>
  </w:style>
  <w:style w:type="character" w:customStyle="1" w:styleId="HeaderChar">
    <w:name w:val="Header Char"/>
    <w:basedOn w:val="DefaultParagraphFont"/>
    <w:link w:val="Header"/>
    <w:rsid w:val="005844EC"/>
    <w:rPr>
      <w:sz w:val="24"/>
      <w:szCs w:val="24"/>
    </w:rPr>
  </w:style>
  <w:style w:type="character" w:customStyle="1" w:styleId="FooterChar">
    <w:name w:val="Footer Char"/>
    <w:basedOn w:val="DefaultParagraphFont"/>
    <w:link w:val="Footer"/>
    <w:uiPriority w:val="99"/>
    <w:rsid w:val="005844EC"/>
    <w:rPr>
      <w:sz w:val="24"/>
      <w:szCs w:val="24"/>
    </w:rPr>
  </w:style>
  <w:style w:type="paragraph" w:styleId="BalloonText">
    <w:name w:val="Balloon Text"/>
    <w:basedOn w:val="Normal"/>
    <w:link w:val="BalloonTextChar"/>
    <w:rsid w:val="00045F8D"/>
    <w:rPr>
      <w:rFonts w:ascii="Tahoma" w:hAnsi="Tahoma" w:cs="Tahoma"/>
      <w:sz w:val="16"/>
      <w:szCs w:val="16"/>
    </w:rPr>
  </w:style>
  <w:style w:type="character" w:customStyle="1" w:styleId="BalloonTextChar">
    <w:name w:val="Balloon Text Char"/>
    <w:basedOn w:val="DefaultParagraphFont"/>
    <w:link w:val="BalloonText"/>
    <w:rsid w:val="00045F8D"/>
    <w:rPr>
      <w:rFonts w:ascii="Tahoma" w:hAnsi="Tahoma" w:cs="Tahoma"/>
      <w:sz w:val="16"/>
      <w:szCs w:val="16"/>
    </w:rPr>
  </w:style>
  <w:style w:type="paragraph" w:styleId="ListParagraph">
    <w:name w:val="List Paragraph"/>
    <w:basedOn w:val="Normal"/>
    <w:uiPriority w:val="34"/>
    <w:qFormat/>
    <w:rsid w:val="007B1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294971">
      <w:bodyDiv w:val="1"/>
      <w:marLeft w:val="0"/>
      <w:marRight w:val="0"/>
      <w:marTop w:val="0"/>
      <w:marBottom w:val="0"/>
      <w:divBdr>
        <w:top w:val="none" w:sz="0" w:space="0" w:color="auto"/>
        <w:left w:val="none" w:sz="0" w:space="0" w:color="auto"/>
        <w:bottom w:val="none" w:sz="0" w:space="0" w:color="auto"/>
        <w:right w:val="none" w:sz="0" w:space="0" w:color="auto"/>
      </w:divBdr>
    </w:div>
    <w:div w:id="1087926769">
      <w:bodyDiv w:val="1"/>
      <w:marLeft w:val="0"/>
      <w:marRight w:val="0"/>
      <w:marTop w:val="0"/>
      <w:marBottom w:val="0"/>
      <w:divBdr>
        <w:top w:val="none" w:sz="0" w:space="0" w:color="auto"/>
        <w:left w:val="none" w:sz="0" w:space="0" w:color="auto"/>
        <w:bottom w:val="none" w:sz="0" w:space="0" w:color="auto"/>
        <w:right w:val="none" w:sz="0" w:space="0" w:color="auto"/>
      </w:divBdr>
    </w:div>
    <w:div w:id="199074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m11.safelinks.protection.outlook.com/?url=https%3A%2F%2Fgcsu.smartcatalogiq.com%2Fen%2Fpolicy-manual%2Fpolicy-manual%2Facademic-affairs%2Femploymentpolicies-procedures-benefits%2Fperformance-evaluations-administrators-and-faculty%2Ffaculty-performance-evaluation%2Fteaching-effectiveness-assessing%2Fteaching-effectiveness-department-plans-for-additional-technique%2F&amp;data=05%7C02%7Cstephanie.jett%40gcsu.edu%7Cbb89e47a88d84bc7050508dc387bb692%7Cbfd29cfa8e7142e69abc953a6d6f07d6%7C0%7C0%7C638447351200506749%7CUnknown%7CTWFpbGZsb3d8eyJWIjoiMC4wLjAwMDAiLCJQIjoiV2luMzIiLCJBTiI6Ik1haWwiLCJXVCI6Mn0%3D%7C0%7C%7C%7C&amp;sdata=pfF0xlHWdOPs13hZAbhm9gQ%2FyS%2BDvSnktVDV8k4J89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D0295-EDA8-8D40-B0E0-1C8E97FC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FINAL DRAFT</vt:lpstr>
    </vt:vector>
  </TitlesOfParts>
  <Company>Georgia College &amp; State University</Company>
  <LinksUpToDate>false</LinksUpToDate>
  <CharactersWithSpaces>11908</CharactersWithSpaces>
  <SharedDoc>false</SharedDoc>
  <HLinks>
    <vt:vector size="6" baseType="variant">
      <vt:variant>
        <vt:i4>7405592</vt:i4>
      </vt:variant>
      <vt:variant>
        <vt:i4>0</vt:i4>
      </vt:variant>
      <vt:variant>
        <vt:i4>0</vt:i4>
      </vt:variant>
      <vt:variant>
        <vt:i4>5</vt:i4>
      </vt:variant>
      <vt:variant>
        <vt:lpwstr>mailto:ecus@list.gcsu.edu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DRAFT</dc:title>
  <dc:creator>user</dc:creator>
  <cp:lastModifiedBy>stephanie jett</cp:lastModifiedBy>
  <cp:revision>11</cp:revision>
  <cp:lastPrinted>2018-01-30T22:29:00Z</cp:lastPrinted>
  <dcterms:created xsi:type="dcterms:W3CDTF">2024-05-07T21:00:00Z</dcterms:created>
  <dcterms:modified xsi:type="dcterms:W3CDTF">2024-05-10T19:31:00Z</dcterms:modified>
</cp:coreProperties>
</file>