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B93" w:rsidRPr="00205DBB" w:rsidRDefault="00F90B93" w:rsidP="00F90B93">
      <w:pPr>
        <w:jc w:val="center"/>
        <w:rPr>
          <w:rFonts w:eastAsia="Times New Roman"/>
        </w:rPr>
      </w:pPr>
      <w:r w:rsidRPr="00205DBB">
        <w:rPr>
          <w:rFonts w:eastAsia="Times New Roman"/>
          <w:color w:val="000000"/>
        </w:rPr>
        <w:t>Georgia College and State University</w:t>
      </w:r>
    </w:p>
    <w:p w:rsidR="00F90B93" w:rsidRPr="00205DBB" w:rsidRDefault="00F90B93" w:rsidP="00F90B93">
      <w:pPr>
        <w:jc w:val="center"/>
        <w:rPr>
          <w:rFonts w:eastAsia="Times New Roman"/>
        </w:rPr>
      </w:pPr>
      <w:r w:rsidRPr="00205DBB">
        <w:rPr>
          <w:rFonts w:eastAsia="Times New Roman"/>
          <w:color w:val="000000"/>
        </w:rPr>
        <w:t>Student Government Association</w:t>
      </w:r>
    </w:p>
    <w:p w:rsidR="00F90B93" w:rsidRPr="00205DBB" w:rsidRDefault="00F90B93" w:rsidP="00F90B93">
      <w:pPr>
        <w:jc w:val="center"/>
        <w:rPr>
          <w:rFonts w:eastAsia="Times New Roman"/>
        </w:rPr>
      </w:pPr>
      <w:r w:rsidRPr="00205DBB">
        <w:rPr>
          <w:rFonts w:eastAsia="Times New Roman"/>
          <w:color w:val="000000"/>
        </w:rPr>
        <w:t>2015-2016 Session</w:t>
      </w:r>
    </w:p>
    <w:p w:rsidR="00F90B93" w:rsidRPr="00205DBB" w:rsidRDefault="00F90B93" w:rsidP="00F90B93">
      <w:pPr>
        <w:rPr>
          <w:rFonts w:eastAsia="Times New Roman"/>
        </w:rPr>
      </w:pPr>
    </w:p>
    <w:p w:rsidR="00F90B93" w:rsidRPr="00205DBB" w:rsidRDefault="00F90B93" w:rsidP="00F90B93">
      <w:pPr>
        <w:jc w:val="center"/>
        <w:rPr>
          <w:rFonts w:eastAsia="Times New Roman"/>
        </w:rPr>
      </w:pPr>
      <w:r w:rsidRPr="00205DBB">
        <w:rPr>
          <w:rFonts w:eastAsia="Times New Roman"/>
          <w:color w:val="000000"/>
        </w:rPr>
        <w:t>S.R. 1516.05</w:t>
      </w:r>
    </w:p>
    <w:p w:rsidR="00F90B93" w:rsidRPr="00205DBB" w:rsidRDefault="00F90B93" w:rsidP="00F90B93">
      <w:pPr>
        <w:rPr>
          <w:rFonts w:eastAsia="Times New Roman"/>
        </w:rPr>
      </w:pPr>
    </w:p>
    <w:p w:rsidR="00F90B93" w:rsidRPr="00205DBB" w:rsidRDefault="00F90B93" w:rsidP="00F90B93">
      <w:pPr>
        <w:jc w:val="center"/>
        <w:rPr>
          <w:rFonts w:eastAsia="Times New Roman"/>
        </w:rPr>
      </w:pPr>
      <w:r w:rsidRPr="00205DBB">
        <w:rPr>
          <w:rFonts w:eastAsia="Times New Roman"/>
          <w:color w:val="000000"/>
        </w:rPr>
        <w:t xml:space="preserve">Senator </w:t>
      </w:r>
      <w:proofErr w:type="spellStart"/>
      <w:r w:rsidRPr="00205DBB">
        <w:rPr>
          <w:rFonts w:eastAsia="Times New Roman"/>
          <w:color w:val="000000"/>
        </w:rPr>
        <w:t>Gwaltney</w:t>
      </w:r>
      <w:proofErr w:type="spellEnd"/>
    </w:p>
    <w:p w:rsidR="00F90B93" w:rsidRPr="00205DBB" w:rsidRDefault="00F90B93" w:rsidP="00F90B93">
      <w:pPr>
        <w:jc w:val="center"/>
        <w:rPr>
          <w:rFonts w:eastAsia="Times New Roman"/>
        </w:rPr>
      </w:pPr>
      <w:r w:rsidRPr="00205DBB">
        <w:rPr>
          <w:rFonts w:eastAsia="Times New Roman"/>
          <w:color w:val="000000"/>
        </w:rPr>
        <w:t>Senator McNeal</w:t>
      </w:r>
    </w:p>
    <w:p w:rsidR="00F90B93" w:rsidRPr="00205DBB" w:rsidRDefault="00F90B93" w:rsidP="00F90B93">
      <w:pPr>
        <w:jc w:val="center"/>
        <w:rPr>
          <w:rFonts w:eastAsia="Times New Roman"/>
        </w:rPr>
      </w:pPr>
      <w:r w:rsidRPr="00205DBB">
        <w:rPr>
          <w:rFonts w:eastAsia="Times New Roman"/>
          <w:color w:val="000000"/>
        </w:rPr>
        <w:t>Senator Ben-</w:t>
      </w:r>
      <w:proofErr w:type="spellStart"/>
      <w:r w:rsidRPr="00205DBB">
        <w:rPr>
          <w:rFonts w:eastAsia="Times New Roman"/>
          <w:color w:val="000000"/>
        </w:rPr>
        <w:t>Hashal</w:t>
      </w:r>
      <w:proofErr w:type="spellEnd"/>
    </w:p>
    <w:p w:rsidR="00F90B93" w:rsidRPr="00205DBB" w:rsidRDefault="00F90B93" w:rsidP="00F90B93">
      <w:pPr>
        <w:rPr>
          <w:rFonts w:eastAsia="Times New Roman"/>
        </w:rPr>
      </w:pPr>
    </w:p>
    <w:p w:rsidR="00F90B93" w:rsidRPr="00205DBB" w:rsidRDefault="00F90B93" w:rsidP="00F90B93">
      <w:pPr>
        <w:jc w:val="center"/>
        <w:rPr>
          <w:rFonts w:eastAsia="Times New Roman"/>
        </w:rPr>
      </w:pPr>
      <w:r w:rsidRPr="00205DBB">
        <w:rPr>
          <w:rFonts w:eastAsia="Times New Roman"/>
          <w:color w:val="000000"/>
        </w:rPr>
        <w:t>A RESOLUTION</w:t>
      </w:r>
    </w:p>
    <w:p w:rsidR="00F90B93" w:rsidRPr="00205DBB" w:rsidRDefault="00F90B93" w:rsidP="00F90B93">
      <w:pPr>
        <w:rPr>
          <w:rFonts w:eastAsia="Times New Roman"/>
        </w:rPr>
      </w:pPr>
    </w:p>
    <w:p w:rsidR="00F90B93" w:rsidRPr="00205DBB" w:rsidRDefault="00F90B93" w:rsidP="00F90B93">
      <w:pPr>
        <w:jc w:val="center"/>
        <w:rPr>
          <w:rFonts w:eastAsia="Times New Roman"/>
        </w:rPr>
      </w:pPr>
      <w:r w:rsidRPr="00205DBB">
        <w:rPr>
          <w:rFonts w:eastAsia="Times New Roman"/>
          <w:color w:val="000000"/>
        </w:rPr>
        <w:t>To recommend to include the language “Gender Identity and Gender Expression” in Georgia College and State University’s Academic Non-Discrimination Policy.</w:t>
      </w:r>
    </w:p>
    <w:p w:rsidR="00F90B93" w:rsidRPr="00205DBB" w:rsidRDefault="00F90B93" w:rsidP="00F90B93">
      <w:pPr>
        <w:rPr>
          <w:rFonts w:eastAsia="Times New Roman"/>
        </w:rPr>
      </w:pPr>
    </w:p>
    <w:p w:rsidR="00F90B93" w:rsidRPr="00205DBB" w:rsidRDefault="00F90B93" w:rsidP="00F90B93">
      <w:pPr>
        <w:jc w:val="center"/>
        <w:rPr>
          <w:rFonts w:eastAsia="Times New Roman"/>
        </w:rPr>
      </w:pPr>
      <w:r w:rsidRPr="00205DBB">
        <w:rPr>
          <w:rFonts w:eastAsia="Times New Roman"/>
          <w:color w:val="000000"/>
        </w:rPr>
        <w:t xml:space="preserve">BE IT ENACTED BY THE STUDENT GOVERNMENT ASSOCIATION OF GEORGIA COLLEGE &amp; STATE UNIVERSITY </w:t>
      </w:r>
    </w:p>
    <w:p w:rsidR="00F90B93" w:rsidRPr="00205DBB" w:rsidRDefault="00F90B93" w:rsidP="00F90B93">
      <w:pPr>
        <w:rPr>
          <w:rFonts w:eastAsia="Times New Roman"/>
        </w:rPr>
      </w:pPr>
    </w:p>
    <w:p w:rsidR="00F90B93" w:rsidRPr="00205DBB" w:rsidRDefault="00F90B93" w:rsidP="00F90B93">
      <w:pPr>
        <w:jc w:val="center"/>
        <w:rPr>
          <w:rFonts w:eastAsia="Times New Roman"/>
        </w:rPr>
      </w:pPr>
      <w:r w:rsidRPr="00205DBB">
        <w:rPr>
          <w:rFonts w:eastAsia="Times New Roman"/>
          <w:color w:val="000000"/>
        </w:rPr>
        <w:t>SECTION I</w:t>
      </w:r>
    </w:p>
    <w:p w:rsidR="00F90B93" w:rsidRPr="00205DBB" w:rsidRDefault="00F90B93" w:rsidP="00F90B93">
      <w:pPr>
        <w:rPr>
          <w:rFonts w:eastAsia="Times New Roman"/>
        </w:rPr>
      </w:pPr>
    </w:p>
    <w:p w:rsidR="00F90B93" w:rsidRPr="00205DBB" w:rsidRDefault="00F90B93" w:rsidP="00F90B93">
      <w:pPr>
        <w:rPr>
          <w:rFonts w:eastAsia="Times New Roman"/>
        </w:rPr>
      </w:pPr>
      <w:r w:rsidRPr="00205DBB">
        <w:rPr>
          <w:rFonts w:eastAsia="Times New Roman"/>
          <w:color w:val="000000"/>
        </w:rPr>
        <w:t>The following definitions are provided as items of reference within the confines of this legislation:</w:t>
      </w:r>
    </w:p>
    <w:p w:rsidR="00F90B93" w:rsidRPr="00205DBB" w:rsidRDefault="00F90B93" w:rsidP="00F90B93">
      <w:pPr>
        <w:rPr>
          <w:rFonts w:eastAsia="Times New Roman"/>
        </w:rPr>
      </w:pPr>
    </w:p>
    <w:p w:rsidR="00F90B93" w:rsidRPr="00205DBB" w:rsidRDefault="00F90B93" w:rsidP="00F90B93">
      <w:pPr>
        <w:rPr>
          <w:rFonts w:eastAsia="Times New Roman"/>
        </w:rPr>
      </w:pPr>
      <w:r w:rsidRPr="00205DBB">
        <w:rPr>
          <w:rFonts w:eastAsia="Times New Roman"/>
          <w:color w:val="000000"/>
        </w:rPr>
        <w:t xml:space="preserve">“Discrimination” shall be defined as </w:t>
      </w:r>
      <w:r w:rsidRPr="00205DBB">
        <w:rPr>
          <w:rFonts w:eastAsia="Times New Roman"/>
          <w:color w:val="000000"/>
          <w:shd w:val="clear" w:color="auto" w:fill="FFFFFF"/>
        </w:rPr>
        <w:t>the unjust or prejudicial treatment of different categories of people or things</w:t>
      </w:r>
      <w:r w:rsidRPr="00205DBB">
        <w:rPr>
          <w:rFonts w:eastAsia="Times New Roman"/>
          <w:color w:val="000000"/>
        </w:rPr>
        <w:t xml:space="preserve">; and, </w:t>
      </w:r>
    </w:p>
    <w:p w:rsidR="00F90B93" w:rsidRPr="00205DBB" w:rsidRDefault="00F90B93" w:rsidP="00F90B93">
      <w:pPr>
        <w:rPr>
          <w:rFonts w:eastAsia="Times New Roman"/>
        </w:rPr>
      </w:pPr>
    </w:p>
    <w:p w:rsidR="00F90B93" w:rsidRPr="00205DBB" w:rsidRDefault="00F90B93" w:rsidP="00F90B93">
      <w:pPr>
        <w:rPr>
          <w:rFonts w:eastAsia="Times New Roman"/>
        </w:rPr>
      </w:pPr>
      <w:r w:rsidRPr="00205DBB">
        <w:rPr>
          <w:rFonts w:eastAsia="Times New Roman"/>
          <w:color w:val="000000"/>
          <w:shd w:val="clear" w:color="auto" w:fill="FFFFFF"/>
        </w:rPr>
        <w:t>“Non-discrimination policies” shall be defined as prohibitive mechanisms banning discrimination in the workplace, schools, organizations, etc.; and,</w:t>
      </w:r>
    </w:p>
    <w:p w:rsidR="00F90B93" w:rsidRPr="00205DBB" w:rsidRDefault="00F90B93" w:rsidP="00F90B93">
      <w:pPr>
        <w:rPr>
          <w:rFonts w:eastAsia="Times New Roman"/>
        </w:rPr>
      </w:pPr>
    </w:p>
    <w:p w:rsidR="00F90B93" w:rsidRPr="00205DBB" w:rsidRDefault="00F90B93" w:rsidP="00F90B93">
      <w:pPr>
        <w:rPr>
          <w:rFonts w:eastAsia="Times New Roman"/>
        </w:rPr>
      </w:pPr>
      <w:r w:rsidRPr="00205DBB">
        <w:rPr>
          <w:rFonts w:eastAsia="Times New Roman"/>
          <w:color w:val="000000"/>
        </w:rPr>
        <w:t>“Gender identity” shall be defined as sociological and psychological sense of self in relation to gender, and is determined at the prerogative of the individual, which may or may not align internally with the outwardly expressed biological sex of the person--</w:t>
      </w:r>
      <w:proofErr w:type="spellStart"/>
      <w:r w:rsidRPr="00205DBB">
        <w:rPr>
          <w:rFonts w:eastAsia="Times New Roman"/>
          <w:color w:val="000000"/>
        </w:rPr>
        <w:t>ie</w:t>
      </w:r>
      <w:proofErr w:type="spellEnd"/>
      <w:r w:rsidRPr="00205DBB">
        <w:rPr>
          <w:rFonts w:eastAsia="Times New Roman"/>
          <w:color w:val="000000"/>
        </w:rPr>
        <w:t xml:space="preserve">. </w:t>
      </w:r>
      <w:proofErr w:type="gramStart"/>
      <w:r w:rsidRPr="00205DBB">
        <w:rPr>
          <w:rFonts w:eastAsia="Times New Roman"/>
          <w:color w:val="000000"/>
        </w:rPr>
        <w:t>gender</w:t>
      </w:r>
      <w:proofErr w:type="gramEnd"/>
      <w:r w:rsidRPr="00205DBB">
        <w:rPr>
          <w:rFonts w:eastAsia="Times New Roman"/>
          <w:color w:val="000000"/>
        </w:rPr>
        <w:t xml:space="preserve"> identity is the internal conceptualization of gender; and,</w:t>
      </w:r>
    </w:p>
    <w:p w:rsidR="00F90B93" w:rsidRPr="00205DBB" w:rsidRDefault="00F90B93" w:rsidP="00F90B93">
      <w:pPr>
        <w:rPr>
          <w:rFonts w:eastAsia="Times New Roman"/>
        </w:rPr>
      </w:pPr>
    </w:p>
    <w:p w:rsidR="00F90B93" w:rsidRPr="00205DBB" w:rsidRDefault="00F90B93" w:rsidP="00F90B93">
      <w:pPr>
        <w:rPr>
          <w:rFonts w:eastAsia="Times New Roman"/>
        </w:rPr>
      </w:pPr>
      <w:r w:rsidRPr="00205DBB">
        <w:rPr>
          <w:rFonts w:eastAsia="Times New Roman"/>
          <w:color w:val="000000"/>
        </w:rPr>
        <w:t>“Gender expression” shall be defined as the communication of a person’s gender, which is the primary source and target of gender discrimination--</w:t>
      </w:r>
      <w:proofErr w:type="spellStart"/>
      <w:r w:rsidRPr="00205DBB">
        <w:rPr>
          <w:rFonts w:eastAsia="Times New Roman"/>
          <w:color w:val="000000"/>
        </w:rPr>
        <w:t>ie</w:t>
      </w:r>
      <w:proofErr w:type="spellEnd"/>
      <w:r w:rsidRPr="00205DBB">
        <w:rPr>
          <w:rFonts w:eastAsia="Times New Roman"/>
          <w:color w:val="000000"/>
        </w:rPr>
        <w:t xml:space="preserve">. </w:t>
      </w:r>
      <w:proofErr w:type="gramStart"/>
      <w:r w:rsidRPr="00205DBB">
        <w:rPr>
          <w:rFonts w:eastAsia="Times New Roman"/>
          <w:color w:val="000000"/>
        </w:rPr>
        <w:t>gender</w:t>
      </w:r>
      <w:proofErr w:type="gramEnd"/>
      <w:r w:rsidRPr="00205DBB">
        <w:rPr>
          <w:rFonts w:eastAsia="Times New Roman"/>
          <w:color w:val="000000"/>
        </w:rPr>
        <w:t xml:space="preserve"> expression is the external manifestation of gender identity; and,</w:t>
      </w:r>
    </w:p>
    <w:p w:rsidR="00F90B93" w:rsidRPr="00205DBB" w:rsidRDefault="00F90B93" w:rsidP="00F90B93">
      <w:pPr>
        <w:rPr>
          <w:rFonts w:eastAsia="Times New Roman"/>
        </w:rPr>
      </w:pPr>
    </w:p>
    <w:p w:rsidR="00F90B93" w:rsidRPr="00205DBB" w:rsidRDefault="00F90B93" w:rsidP="00F90B93">
      <w:pPr>
        <w:rPr>
          <w:rFonts w:eastAsia="Times New Roman"/>
        </w:rPr>
      </w:pPr>
      <w:r w:rsidRPr="00205DBB">
        <w:rPr>
          <w:rFonts w:eastAsia="Times New Roman"/>
          <w:color w:val="191919"/>
          <w:shd w:val="clear" w:color="auto" w:fill="FFFFFF"/>
        </w:rPr>
        <w:t>“Gender non-conforming” refers to persons who do not adhere to societal structures regarding dress, personal characteristics, general behavior, etc. based on the assumed assignments of biological sex in conjunction with the gender of that person</w:t>
      </w:r>
      <w:r w:rsidRPr="00205DBB">
        <w:rPr>
          <w:rFonts w:eastAsia="Times New Roman"/>
          <w:color w:val="000000"/>
        </w:rPr>
        <w:t>.</w:t>
      </w:r>
    </w:p>
    <w:p w:rsidR="00F90B93" w:rsidRPr="00205DBB" w:rsidRDefault="00F90B93" w:rsidP="00F90B93">
      <w:pPr>
        <w:rPr>
          <w:rFonts w:eastAsia="Times New Roman"/>
        </w:rPr>
      </w:pPr>
    </w:p>
    <w:p w:rsidR="00F90B93" w:rsidRPr="00205DBB" w:rsidRDefault="00F90B93" w:rsidP="00F90B93">
      <w:pPr>
        <w:jc w:val="center"/>
        <w:rPr>
          <w:rFonts w:eastAsia="Times New Roman"/>
        </w:rPr>
      </w:pPr>
      <w:r w:rsidRPr="00205DBB">
        <w:rPr>
          <w:rFonts w:eastAsia="Times New Roman"/>
          <w:color w:val="000000"/>
        </w:rPr>
        <w:t>SECTION II</w:t>
      </w:r>
    </w:p>
    <w:p w:rsidR="00F90B93" w:rsidRPr="00205DBB" w:rsidRDefault="00F90B93" w:rsidP="00F90B93">
      <w:pPr>
        <w:rPr>
          <w:rFonts w:eastAsia="Times New Roman"/>
        </w:rPr>
      </w:pPr>
    </w:p>
    <w:p w:rsidR="00F90B93" w:rsidRPr="00205DBB" w:rsidRDefault="00F90B93" w:rsidP="00F90B93">
      <w:pPr>
        <w:rPr>
          <w:rFonts w:eastAsia="Times New Roman"/>
        </w:rPr>
      </w:pPr>
      <w:r w:rsidRPr="00205DBB">
        <w:rPr>
          <w:rFonts w:eastAsia="Times New Roman"/>
          <w:color w:val="000000"/>
        </w:rPr>
        <w:t>The following facts are submitted as justification for the amendment:</w:t>
      </w:r>
    </w:p>
    <w:p w:rsidR="00F90B93" w:rsidRPr="00205DBB" w:rsidRDefault="00F90B93" w:rsidP="00F90B93">
      <w:pPr>
        <w:rPr>
          <w:rFonts w:eastAsia="Times New Roman"/>
        </w:rPr>
      </w:pPr>
    </w:p>
    <w:p w:rsidR="00F90B93" w:rsidRPr="00205DBB" w:rsidRDefault="00F90B93" w:rsidP="00F90B93">
      <w:pPr>
        <w:numPr>
          <w:ilvl w:val="0"/>
          <w:numId w:val="1"/>
        </w:numPr>
        <w:textAlignment w:val="baseline"/>
        <w:rPr>
          <w:rFonts w:eastAsia="Times New Roman"/>
          <w:color w:val="000000"/>
        </w:rPr>
      </w:pPr>
      <w:r w:rsidRPr="00205DBB">
        <w:rPr>
          <w:rFonts w:eastAsia="Times New Roman"/>
          <w:color w:val="000000"/>
        </w:rPr>
        <w:lastRenderedPageBreak/>
        <w:t>WHEREAS, the language in Georgia College’s academic non-discrimination policy does not explicitly prohibit discrimination based on gender identity or gender expression.</w:t>
      </w:r>
    </w:p>
    <w:p w:rsidR="00F90B93" w:rsidRPr="00205DBB" w:rsidRDefault="00F90B93" w:rsidP="00F90B93">
      <w:pPr>
        <w:rPr>
          <w:rFonts w:eastAsia="Times New Roman"/>
        </w:rPr>
      </w:pPr>
    </w:p>
    <w:p w:rsidR="00F90B93" w:rsidRPr="00205DBB" w:rsidRDefault="00F90B93" w:rsidP="00F90B93">
      <w:pPr>
        <w:numPr>
          <w:ilvl w:val="0"/>
          <w:numId w:val="2"/>
        </w:numPr>
        <w:textAlignment w:val="baseline"/>
        <w:rPr>
          <w:rFonts w:eastAsia="Times New Roman"/>
          <w:color w:val="000000"/>
        </w:rPr>
      </w:pPr>
      <w:r w:rsidRPr="00205DBB">
        <w:rPr>
          <w:rFonts w:eastAsia="Times New Roman"/>
          <w:color w:val="000000"/>
        </w:rPr>
        <w:t>WHEREAS,</w:t>
      </w:r>
      <w:r w:rsidRPr="00205DBB">
        <w:rPr>
          <w:rFonts w:eastAsia="Times New Roman"/>
          <w:b/>
          <w:bCs/>
          <w:color w:val="000000"/>
        </w:rPr>
        <w:t xml:space="preserve"> </w:t>
      </w:r>
      <w:r w:rsidRPr="00205DBB">
        <w:rPr>
          <w:rFonts w:eastAsia="Times New Roman"/>
          <w:color w:val="000000"/>
        </w:rPr>
        <w:t>the current non-discrimination policy prohibits discrimination on the ground</w:t>
      </w:r>
      <w:r w:rsidR="00C74368">
        <w:rPr>
          <w:rFonts w:eastAsia="Times New Roman"/>
          <w:color w:val="000000"/>
        </w:rPr>
        <w:t>s of: race, color, sex, sexual orientation, religion, natural origin, age, disability, or veteran status;</w:t>
      </w:r>
      <w:r w:rsidRPr="00205DBB">
        <w:rPr>
          <w:rFonts w:eastAsia="Times New Roman"/>
          <w:color w:val="000000"/>
        </w:rPr>
        <w:t xml:space="preserve"> in</w:t>
      </w:r>
      <w:r w:rsidR="00C74368">
        <w:rPr>
          <w:rFonts w:eastAsia="Times New Roman"/>
          <w:color w:val="000000"/>
        </w:rPr>
        <w:t xml:space="preserve"> accordance with</w:t>
      </w:r>
      <w:r w:rsidRPr="00205DBB">
        <w:rPr>
          <w:rFonts w:eastAsia="Times New Roman"/>
          <w:color w:val="000000"/>
        </w:rPr>
        <w:t xml:space="preserve"> the Civil Rights Act of 1964, the Higher Education Act of 1972, and</w:t>
      </w:r>
      <w:r w:rsidR="00C74368">
        <w:rPr>
          <w:rFonts w:eastAsia="Times New Roman"/>
          <w:color w:val="000000"/>
        </w:rPr>
        <w:t xml:space="preserve"> the Rehabilitation Act of 1973, but does not expressly prohibit discrimination based on gender identity and expression. </w:t>
      </w:r>
      <w:bookmarkStart w:id="0" w:name="_GoBack"/>
      <w:bookmarkEnd w:id="0"/>
    </w:p>
    <w:p w:rsidR="00F90B93" w:rsidRPr="00205DBB" w:rsidRDefault="00F90B93" w:rsidP="00F90B93">
      <w:pPr>
        <w:rPr>
          <w:rFonts w:eastAsia="Times New Roman"/>
        </w:rPr>
      </w:pPr>
    </w:p>
    <w:p w:rsidR="00F90B93" w:rsidRPr="00205DBB" w:rsidRDefault="00F90B93" w:rsidP="00F90B93">
      <w:pPr>
        <w:numPr>
          <w:ilvl w:val="0"/>
          <w:numId w:val="3"/>
        </w:numPr>
        <w:textAlignment w:val="baseline"/>
        <w:rPr>
          <w:rFonts w:eastAsia="Times New Roman"/>
          <w:color w:val="000000"/>
        </w:rPr>
      </w:pPr>
      <w:r w:rsidRPr="00205DBB">
        <w:rPr>
          <w:rFonts w:eastAsia="Times New Roman"/>
          <w:color w:val="000000"/>
        </w:rPr>
        <w:t>WHEREAS, gender non-conforming students often face prejudice and hostile situations in their day-to-day lives, many times based upon their gender expression, rather than their identities.</w:t>
      </w:r>
    </w:p>
    <w:p w:rsidR="00F90B93" w:rsidRPr="00205DBB" w:rsidRDefault="00F90B93" w:rsidP="00F90B93">
      <w:pPr>
        <w:rPr>
          <w:rFonts w:eastAsia="Times New Roman"/>
        </w:rPr>
      </w:pPr>
    </w:p>
    <w:p w:rsidR="00F90B93" w:rsidRPr="00205DBB" w:rsidRDefault="00F90B93" w:rsidP="00F90B93">
      <w:pPr>
        <w:numPr>
          <w:ilvl w:val="0"/>
          <w:numId w:val="4"/>
        </w:numPr>
        <w:textAlignment w:val="baseline"/>
        <w:rPr>
          <w:rFonts w:eastAsia="Times New Roman"/>
          <w:color w:val="000000"/>
        </w:rPr>
      </w:pPr>
      <w:r w:rsidRPr="00205DBB">
        <w:rPr>
          <w:rFonts w:eastAsia="Times New Roman"/>
          <w:color w:val="000000"/>
        </w:rPr>
        <w:t>WHEREAS, collegiate non-discrimination policies are meant to protect every student by ensuring equal treatment in the eyes of the institution.</w:t>
      </w:r>
    </w:p>
    <w:p w:rsidR="00F90B93" w:rsidRPr="00205DBB" w:rsidRDefault="00F90B93" w:rsidP="00F90B93">
      <w:pPr>
        <w:rPr>
          <w:rFonts w:eastAsia="Times New Roman"/>
        </w:rPr>
      </w:pPr>
    </w:p>
    <w:p w:rsidR="00F90B93" w:rsidRPr="00205DBB" w:rsidRDefault="00F90B93" w:rsidP="00F90B93">
      <w:pPr>
        <w:numPr>
          <w:ilvl w:val="0"/>
          <w:numId w:val="5"/>
        </w:numPr>
        <w:textAlignment w:val="baseline"/>
        <w:rPr>
          <w:rFonts w:eastAsia="Times New Roman"/>
          <w:color w:val="000000"/>
        </w:rPr>
      </w:pPr>
      <w:r w:rsidRPr="00205DBB">
        <w:rPr>
          <w:rFonts w:eastAsia="Times New Roman"/>
          <w:color w:val="000000"/>
        </w:rPr>
        <w:t>WHEREAS, the exclusion of gender identity and expression in Georgia College’s non-discrimination policy does not secure a safe and welcoming environment to prospective and current GNC students, and has the propensity to damage the entire campus’ educational experience.</w:t>
      </w:r>
    </w:p>
    <w:p w:rsidR="00F90B93" w:rsidRPr="00205DBB" w:rsidRDefault="00F90B93" w:rsidP="00F90B93">
      <w:pPr>
        <w:rPr>
          <w:rFonts w:eastAsia="Times New Roman"/>
        </w:rPr>
      </w:pPr>
    </w:p>
    <w:p w:rsidR="00F90B93" w:rsidRPr="00205DBB" w:rsidRDefault="00F90B93" w:rsidP="00F90B93">
      <w:pPr>
        <w:numPr>
          <w:ilvl w:val="0"/>
          <w:numId w:val="6"/>
        </w:numPr>
        <w:textAlignment w:val="baseline"/>
        <w:rPr>
          <w:rFonts w:eastAsia="Times New Roman"/>
          <w:color w:val="000000"/>
        </w:rPr>
      </w:pPr>
      <w:r w:rsidRPr="00205DBB">
        <w:rPr>
          <w:rFonts w:eastAsia="Times New Roman"/>
          <w:color w:val="000000"/>
          <w:shd w:val="clear" w:color="auto" w:fill="FFFFFF"/>
        </w:rPr>
        <w:t>WHEREAS, one of Georgia College’s core principles states that the institution “aims to produce graduates who [have] respect for human diversity and individuality; a sense of civic and global responsibility; sound ethical principles; effective writing, speaking, and quantitative skills; and a healthy lifestyle.”</w:t>
      </w:r>
      <w:r w:rsidRPr="00205DBB">
        <w:rPr>
          <w:rFonts w:eastAsia="Times New Roman"/>
          <w:color w:val="000000"/>
        </w:rPr>
        <w:t xml:space="preserve"> </w:t>
      </w:r>
    </w:p>
    <w:p w:rsidR="00F90B93" w:rsidRPr="00205DBB" w:rsidRDefault="00F90B93" w:rsidP="00F90B93">
      <w:pPr>
        <w:rPr>
          <w:rFonts w:eastAsia="Times New Roman"/>
        </w:rPr>
      </w:pPr>
    </w:p>
    <w:p w:rsidR="00F90B93" w:rsidRPr="00205DBB" w:rsidRDefault="00F90B93" w:rsidP="00F90B93">
      <w:pPr>
        <w:numPr>
          <w:ilvl w:val="0"/>
          <w:numId w:val="7"/>
        </w:numPr>
        <w:textAlignment w:val="baseline"/>
        <w:rPr>
          <w:rFonts w:eastAsia="Times New Roman"/>
          <w:color w:val="000000"/>
        </w:rPr>
      </w:pPr>
      <w:r w:rsidRPr="00205DBB">
        <w:rPr>
          <w:rFonts w:eastAsia="Times New Roman"/>
          <w:color w:val="000000"/>
        </w:rPr>
        <w:t>WHEREAS, Georgia College strives to be a welcoming campus community and to ensure the general safety and well-being of students. Including the phrase “gender identity and gender expression” in the Non-Discrimination policy would affirm Georgia College’s acceptance, support, and equal treatment of gender non-conforming students.</w:t>
      </w:r>
    </w:p>
    <w:p w:rsidR="00F90B93" w:rsidRPr="00205DBB" w:rsidRDefault="00F90B93" w:rsidP="00F90B93">
      <w:pPr>
        <w:rPr>
          <w:rFonts w:eastAsia="Times New Roman"/>
        </w:rPr>
      </w:pPr>
    </w:p>
    <w:p w:rsidR="00F90B93" w:rsidRPr="00205DBB" w:rsidRDefault="00F90B93" w:rsidP="00F90B93">
      <w:pPr>
        <w:numPr>
          <w:ilvl w:val="0"/>
          <w:numId w:val="8"/>
        </w:numPr>
        <w:textAlignment w:val="baseline"/>
        <w:rPr>
          <w:rFonts w:eastAsia="Times New Roman"/>
          <w:color w:val="000000"/>
        </w:rPr>
      </w:pPr>
      <w:r w:rsidRPr="00205DBB">
        <w:rPr>
          <w:rFonts w:eastAsia="Times New Roman"/>
          <w:color w:val="000000"/>
        </w:rPr>
        <w:t>WHEREAS, including this language in the non-discrimination policy would create a campus environment more conducive to learning both inside and outside of the classroom for GNC students.</w:t>
      </w:r>
    </w:p>
    <w:p w:rsidR="00F90B93" w:rsidRPr="00205DBB" w:rsidRDefault="00F90B93" w:rsidP="00F90B93">
      <w:pPr>
        <w:rPr>
          <w:rFonts w:eastAsia="Times New Roman"/>
        </w:rPr>
      </w:pPr>
    </w:p>
    <w:p w:rsidR="00F90B93" w:rsidRPr="00205DBB" w:rsidRDefault="00F90B93" w:rsidP="00F90B93">
      <w:pPr>
        <w:numPr>
          <w:ilvl w:val="0"/>
          <w:numId w:val="9"/>
        </w:numPr>
        <w:textAlignment w:val="baseline"/>
        <w:rPr>
          <w:rFonts w:eastAsia="Times New Roman"/>
          <w:color w:val="000000"/>
        </w:rPr>
      </w:pPr>
      <w:r w:rsidRPr="00205DBB">
        <w:rPr>
          <w:rFonts w:eastAsia="Times New Roman"/>
          <w:color w:val="000000"/>
        </w:rPr>
        <w:t>WHEREAS, according to Campus Pride’s canvassing of U.S. colleges and universities, nearly 1000 colleges and universities in the United States currently have non-discrimination policies which protect the rights of gender non-conforming students, including eight peer institutions in Georgia.</w:t>
      </w:r>
    </w:p>
    <w:p w:rsidR="00F90B93" w:rsidRPr="00205DBB" w:rsidRDefault="00F90B93" w:rsidP="00F90B93">
      <w:pPr>
        <w:rPr>
          <w:rFonts w:eastAsia="Times New Roman"/>
        </w:rPr>
      </w:pPr>
    </w:p>
    <w:p w:rsidR="00F90B93" w:rsidRPr="00205DBB" w:rsidRDefault="00F90B93" w:rsidP="00F90B93">
      <w:pPr>
        <w:numPr>
          <w:ilvl w:val="0"/>
          <w:numId w:val="10"/>
        </w:numPr>
        <w:textAlignment w:val="baseline"/>
        <w:rPr>
          <w:rFonts w:eastAsia="Times New Roman"/>
          <w:color w:val="000000"/>
        </w:rPr>
      </w:pPr>
      <w:r w:rsidRPr="00205DBB">
        <w:rPr>
          <w:rFonts w:eastAsia="Times New Roman"/>
          <w:color w:val="000000"/>
        </w:rPr>
        <w:t>WHEREAS, SGA has supported LGBTQ-related legislation in previous sessions, including the support of hiring of a full-time LGBT coordinator and the establishment of mandatory Safe Space Training for all of its members.</w:t>
      </w:r>
    </w:p>
    <w:p w:rsidR="00F90B93" w:rsidRPr="00205DBB" w:rsidRDefault="00F90B93" w:rsidP="00F90B93">
      <w:pPr>
        <w:rPr>
          <w:rFonts w:eastAsia="Times New Roman"/>
        </w:rPr>
      </w:pPr>
    </w:p>
    <w:p w:rsidR="00F90B93" w:rsidRPr="00205DBB" w:rsidRDefault="00F90B93" w:rsidP="00F90B93">
      <w:pPr>
        <w:numPr>
          <w:ilvl w:val="0"/>
          <w:numId w:val="11"/>
        </w:numPr>
        <w:textAlignment w:val="baseline"/>
        <w:rPr>
          <w:rFonts w:eastAsia="Times New Roman"/>
          <w:color w:val="000000"/>
        </w:rPr>
      </w:pPr>
      <w:r w:rsidRPr="00205DBB">
        <w:rPr>
          <w:rFonts w:eastAsia="Times New Roman"/>
          <w:color w:val="000000"/>
        </w:rPr>
        <w:lastRenderedPageBreak/>
        <w:t>WHEREAS, updating the non-discrimination policy would align Georgia College’s academic priorities with President Dorman’s Diversity Action Plan.</w:t>
      </w:r>
    </w:p>
    <w:p w:rsidR="00F90B93" w:rsidRPr="00205DBB" w:rsidRDefault="00F90B93" w:rsidP="00F90B93">
      <w:pPr>
        <w:rPr>
          <w:rFonts w:eastAsia="Times New Roman"/>
        </w:rPr>
      </w:pPr>
    </w:p>
    <w:p w:rsidR="00F90B93" w:rsidRPr="00205DBB" w:rsidRDefault="00F90B93" w:rsidP="00F90B93">
      <w:pPr>
        <w:numPr>
          <w:ilvl w:val="0"/>
          <w:numId w:val="12"/>
        </w:numPr>
        <w:textAlignment w:val="baseline"/>
        <w:rPr>
          <w:rFonts w:eastAsia="Times New Roman"/>
          <w:color w:val="000000"/>
        </w:rPr>
      </w:pPr>
      <w:r w:rsidRPr="00205DBB">
        <w:rPr>
          <w:rFonts w:eastAsia="Times New Roman"/>
          <w:color w:val="000000"/>
        </w:rPr>
        <w:t>WHEREAS, including the phrase “gender identity and gender expression” will further progress and promote Georgia College’s designation as a public liberal arts university,</w:t>
      </w:r>
    </w:p>
    <w:p w:rsidR="00F90B93" w:rsidRPr="00333615" w:rsidRDefault="00F90B93" w:rsidP="00F90B93">
      <w:pPr>
        <w:tabs>
          <w:tab w:val="left" w:pos="5804"/>
        </w:tabs>
        <w:rPr>
          <w:b/>
        </w:rPr>
      </w:pPr>
      <w:r w:rsidRPr="00205DBB">
        <w:rPr>
          <w:rFonts w:eastAsia="Times New Roman"/>
        </w:rPr>
        <w:br/>
      </w:r>
      <w:r w:rsidRPr="00205DBB">
        <w:rPr>
          <w:rFonts w:eastAsia="Times New Roman"/>
          <w:color w:val="000000"/>
        </w:rPr>
        <w:t>NOW THEREFORE IT BE RESOLVED that the Student Government Association recommends updating Georgia College’s non-discrimination policy to include th</w:t>
      </w:r>
      <w:r>
        <w:rPr>
          <w:rFonts w:eastAsia="Times New Roman"/>
          <w:color w:val="000000"/>
        </w:rPr>
        <w:t>e language “</w:t>
      </w:r>
      <w:r w:rsidRPr="00205DBB">
        <w:rPr>
          <w:rFonts w:eastAsia="Times New Roman"/>
          <w:color w:val="000000"/>
        </w:rPr>
        <w:t>gender identity and expression.”  </w:t>
      </w:r>
    </w:p>
    <w:p w:rsidR="00416DE8" w:rsidRDefault="00416DE8"/>
    <w:sectPr w:rsidR="00416DE8" w:rsidSect="00F330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11C5"/>
    <w:multiLevelType w:val="multilevel"/>
    <w:tmpl w:val="DC6E11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328BB"/>
    <w:multiLevelType w:val="multilevel"/>
    <w:tmpl w:val="987A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21A28"/>
    <w:multiLevelType w:val="multilevel"/>
    <w:tmpl w:val="5B52E8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16FA1"/>
    <w:multiLevelType w:val="multilevel"/>
    <w:tmpl w:val="6DA6DB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46CC2"/>
    <w:multiLevelType w:val="multilevel"/>
    <w:tmpl w:val="4502E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C60A7"/>
    <w:multiLevelType w:val="multilevel"/>
    <w:tmpl w:val="838862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54A47"/>
    <w:multiLevelType w:val="multilevel"/>
    <w:tmpl w:val="981AC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9703C3"/>
    <w:multiLevelType w:val="multilevel"/>
    <w:tmpl w:val="14FC4A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706F75"/>
    <w:multiLevelType w:val="multilevel"/>
    <w:tmpl w:val="78889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AF79F7"/>
    <w:multiLevelType w:val="multilevel"/>
    <w:tmpl w:val="7B8C1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9E06A0"/>
    <w:multiLevelType w:val="multilevel"/>
    <w:tmpl w:val="D66472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3D3791"/>
    <w:multiLevelType w:val="multilevel"/>
    <w:tmpl w:val="D7C8C0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lvlOverride w:ilvl="0">
      <w:lvl w:ilvl="0">
        <w:numFmt w:val="decimal"/>
        <w:lvlText w:val="%1."/>
        <w:lvlJc w:val="left"/>
      </w:lvl>
    </w:lvlOverride>
  </w:num>
  <w:num w:numId="3">
    <w:abstractNumId w:val="8"/>
    <w:lvlOverride w:ilvl="0">
      <w:lvl w:ilvl="0">
        <w:numFmt w:val="decimal"/>
        <w:lvlText w:val="%1."/>
        <w:lvlJc w:val="left"/>
      </w:lvl>
    </w:lvlOverride>
  </w:num>
  <w:num w:numId="4">
    <w:abstractNumId w:val="9"/>
    <w:lvlOverride w:ilvl="0">
      <w:lvl w:ilvl="0">
        <w:numFmt w:val="decimal"/>
        <w:lvlText w:val="%1."/>
        <w:lvlJc w:val="left"/>
      </w:lvl>
    </w:lvlOverride>
  </w:num>
  <w:num w:numId="5">
    <w:abstractNumId w:val="6"/>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93"/>
    <w:rsid w:val="001B02B7"/>
    <w:rsid w:val="00416DE8"/>
    <w:rsid w:val="00C74368"/>
    <w:rsid w:val="00F9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1AF9E-D22D-4800-AC44-39BC99AA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B9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Lowe</dc:creator>
  <cp:keywords/>
  <dc:description/>
  <cp:lastModifiedBy>J Lowe</cp:lastModifiedBy>
  <cp:revision>4</cp:revision>
  <dcterms:created xsi:type="dcterms:W3CDTF">2015-12-03T03:19:00Z</dcterms:created>
  <dcterms:modified xsi:type="dcterms:W3CDTF">2015-12-03T03:48:00Z</dcterms:modified>
</cp:coreProperties>
</file>