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19" w:rsidRDefault="00625719" w:rsidP="00625719">
      <w:r>
        <w:t>Nonprofit Leadership Alliance – Certification (Certified Nonprofit Professional) Georgia College is an affiliate of Nonprofit Leadership Alliance, Inc. Program offered by the GC Department of Government and Sociology</w:t>
      </w:r>
    </w:p>
    <w:p w:rsidR="00625719" w:rsidRDefault="00625719" w:rsidP="00625719">
      <w:pPr>
        <w:rPr>
          <w:b/>
          <w:u w:val="single"/>
        </w:rPr>
      </w:pPr>
      <w:r w:rsidRPr="000F7617">
        <w:rPr>
          <w:b/>
          <w:u w:val="single"/>
        </w:rPr>
        <w:t>Requirements</w:t>
      </w:r>
    </w:p>
    <w:p w:rsidR="00625719" w:rsidRPr="001F36BA" w:rsidRDefault="00625719" w:rsidP="00625719">
      <w:pPr>
        <w:pStyle w:val="ListParagraph"/>
        <w:numPr>
          <w:ilvl w:val="0"/>
          <w:numId w:val="1"/>
        </w:numPr>
        <w:rPr>
          <w:b/>
          <w:u w:val="single"/>
        </w:rPr>
      </w:pPr>
      <w:r w:rsidRPr="001F36BA">
        <w:rPr>
          <w:b/>
          <w:u w:val="single"/>
        </w:rPr>
        <w:t>Course work</w:t>
      </w:r>
    </w:p>
    <w:p w:rsidR="00625719" w:rsidRDefault="008C576F" w:rsidP="00625719">
      <w:pPr>
        <w:pStyle w:val="ListParagraph"/>
        <w:rPr>
          <w:rFonts w:ascii="Calibri" w:hAnsi="Calibri" w:cs="Helvetica"/>
          <w:color w:val="333333"/>
          <w:shd w:val="clear" w:color="auto" w:fill="FFFFFF"/>
        </w:rPr>
      </w:pPr>
      <w:r>
        <w:rPr>
          <w:rFonts w:ascii="Calibri" w:hAnsi="Calibri" w:cs="Helvetica"/>
          <w:color w:val="333333"/>
          <w:shd w:val="clear" w:color="auto" w:fill="FFFFFF"/>
        </w:rPr>
        <w:t>PUAD</w:t>
      </w:r>
      <w:r w:rsidR="00625719" w:rsidRPr="000F7617">
        <w:rPr>
          <w:rFonts w:ascii="Calibri" w:hAnsi="Calibri" w:cs="Helvetica"/>
          <w:color w:val="333333"/>
          <w:shd w:val="clear" w:color="auto" w:fill="FFFFFF"/>
        </w:rPr>
        <w:t> </w:t>
      </w:r>
      <w:r w:rsidR="005F77EF">
        <w:rPr>
          <w:rFonts w:ascii="Calibri" w:hAnsi="Calibri" w:cs="Helvetica"/>
          <w:color w:val="333333"/>
          <w:shd w:val="clear" w:color="auto" w:fill="FFFFFF"/>
        </w:rPr>
        <w:t>3</w:t>
      </w:r>
      <w:r w:rsidR="00625719" w:rsidRPr="000F7617">
        <w:rPr>
          <w:rFonts w:ascii="Calibri" w:hAnsi="Calibri" w:cs="Helvetica"/>
          <w:color w:val="333333"/>
          <w:shd w:val="clear" w:color="auto" w:fill="FFFFFF"/>
        </w:rPr>
        <w:t>950 Nonprofit Management I (Fall semester)</w:t>
      </w:r>
      <w:r w:rsidR="00625719" w:rsidRPr="000F7617">
        <w:rPr>
          <w:rFonts w:ascii="Calibri" w:hAnsi="Calibri" w:cs="Helvetica"/>
          <w:color w:val="333333"/>
        </w:rPr>
        <w:br/>
      </w:r>
      <w:r>
        <w:rPr>
          <w:rFonts w:ascii="Calibri" w:hAnsi="Calibri" w:cs="Helvetica"/>
          <w:color w:val="333333"/>
          <w:shd w:val="clear" w:color="auto" w:fill="FFFFFF"/>
        </w:rPr>
        <w:t>PUAD</w:t>
      </w:r>
      <w:r w:rsidR="00625719" w:rsidRPr="000F7617">
        <w:rPr>
          <w:rFonts w:ascii="Calibri" w:hAnsi="Calibri" w:cs="Helvetica"/>
          <w:color w:val="333333"/>
          <w:shd w:val="clear" w:color="auto" w:fill="FFFFFF"/>
        </w:rPr>
        <w:t> </w:t>
      </w:r>
      <w:r w:rsidR="005F77EF">
        <w:rPr>
          <w:rFonts w:ascii="Calibri" w:hAnsi="Calibri" w:cs="Helvetica"/>
          <w:color w:val="333333"/>
          <w:shd w:val="clear" w:color="auto" w:fill="FFFFFF"/>
        </w:rPr>
        <w:t>3</w:t>
      </w:r>
      <w:r w:rsidR="00625719" w:rsidRPr="000F7617">
        <w:rPr>
          <w:rFonts w:ascii="Calibri" w:hAnsi="Calibri" w:cs="Helvetica"/>
          <w:color w:val="333333"/>
          <w:shd w:val="clear" w:color="auto" w:fill="FFFFFF"/>
        </w:rPr>
        <w:t>950 Nonprofit Management II (Spring semester)</w:t>
      </w:r>
      <w:r w:rsidR="00625719" w:rsidRPr="000F7617">
        <w:rPr>
          <w:rFonts w:ascii="Calibri" w:hAnsi="Calibri" w:cs="Helvetica"/>
          <w:color w:val="333333"/>
        </w:rPr>
        <w:br/>
      </w:r>
      <w:r w:rsidR="00625719" w:rsidRPr="000F7617">
        <w:rPr>
          <w:rFonts w:ascii="Calibri" w:hAnsi="Calibri" w:cs="Helvetica"/>
          <w:color w:val="333333"/>
          <w:shd w:val="clear" w:color="auto" w:fill="FFFFFF"/>
        </w:rPr>
        <w:t xml:space="preserve">RHET 2210 Small Group Communications </w:t>
      </w:r>
      <w:r w:rsidR="00625719" w:rsidRPr="000F7617">
        <w:rPr>
          <w:rFonts w:ascii="Calibri" w:hAnsi="Calibri" w:cs="Helvetica"/>
          <w:b/>
          <w:color w:val="333333"/>
          <w:shd w:val="clear" w:color="auto" w:fill="FFFFFF"/>
        </w:rPr>
        <w:t>OR</w:t>
      </w:r>
      <w:r w:rsidR="00625719" w:rsidRPr="000F7617">
        <w:rPr>
          <w:rFonts w:ascii="Calibri" w:hAnsi="Calibri" w:cs="Helvetica"/>
          <w:color w:val="333333"/>
          <w:shd w:val="clear" w:color="auto" w:fill="FFFFFF"/>
        </w:rPr>
        <w:t> RHET 1110 Fundamentals of Public Speaking</w:t>
      </w:r>
      <w:r w:rsidR="00625719" w:rsidRPr="000F7617">
        <w:rPr>
          <w:rFonts w:ascii="Calibri" w:hAnsi="Calibri" w:cs="Helvetica"/>
          <w:color w:val="333333"/>
        </w:rPr>
        <w:br/>
      </w:r>
      <w:r w:rsidR="00625719" w:rsidRPr="000F7617">
        <w:rPr>
          <w:rFonts w:ascii="Calibri" w:hAnsi="Calibri" w:cs="Helvetica"/>
          <w:color w:val="333333"/>
          <w:shd w:val="clear" w:color="auto" w:fill="FFFFFF"/>
        </w:rPr>
        <w:t>ACCT 2</w:t>
      </w:r>
      <w:r>
        <w:rPr>
          <w:rFonts w:ascii="Calibri" w:hAnsi="Calibri" w:cs="Helvetica"/>
          <w:color w:val="333333"/>
          <w:shd w:val="clear" w:color="auto" w:fill="FFFFFF"/>
        </w:rPr>
        <w:t>000</w:t>
      </w:r>
      <w:r w:rsidR="00625719" w:rsidRPr="000F7617">
        <w:rPr>
          <w:rFonts w:ascii="Calibri" w:hAnsi="Calibri" w:cs="Helvetica"/>
          <w:color w:val="333333"/>
          <w:shd w:val="clear" w:color="auto" w:fill="FFFFFF"/>
        </w:rPr>
        <w:t xml:space="preserve"> </w:t>
      </w:r>
      <w:r w:rsidR="005F77EF">
        <w:rPr>
          <w:rFonts w:ascii="Calibri" w:hAnsi="Calibri" w:cs="Helvetica"/>
          <w:color w:val="333333"/>
          <w:shd w:val="clear" w:color="auto" w:fill="FFFFFF"/>
        </w:rPr>
        <w:t>Introduction to A</w:t>
      </w:r>
      <w:r w:rsidR="00AD4CCD">
        <w:rPr>
          <w:rFonts w:ascii="Calibri" w:hAnsi="Calibri" w:cs="Helvetica"/>
          <w:color w:val="333333"/>
          <w:shd w:val="clear" w:color="auto" w:fill="FFFFFF"/>
        </w:rPr>
        <w:t>ccounting</w:t>
      </w:r>
      <w:bookmarkStart w:id="0" w:name="_GoBack"/>
      <w:bookmarkEnd w:id="0"/>
      <w:r w:rsidR="00625719" w:rsidRPr="000F7617">
        <w:rPr>
          <w:rFonts w:ascii="Calibri" w:hAnsi="Calibri" w:cs="Helvetica"/>
          <w:color w:val="333333"/>
          <w:shd w:val="clear" w:color="auto" w:fill="FFFFFF"/>
        </w:rPr>
        <w:t xml:space="preserve"> </w:t>
      </w:r>
      <w:r w:rsidR="00625719" w:rsidRPr="000F7617">
        <w:rPr>
          <w:rFonts w:ascii="Calibri" w:hAnsi="Calibri" w:cs="Helvetica"/>
          <w:b/>
          <w:color w:val="333333"/>
          <w:shd w:val="clear" w:color="auto" w:fill="FFFFFF"/>
        </w:rPr>
        <w:t>OR</w:t>
      </w:r>
      <w:r w:rsidR="00625719" w:rsidRPr="000F7617">
        <w:rPr>
          <w:rFonts w:ascii="Calibri" w:hAnsi="Calibri" w:cs="Helvetica"/>
          <w:color w:val="333333"/>
          <w:shd w:val="clear" w:color="auto" w:fill="FFFFFF"/>
        </w:rPr>
        <w:t xml:space="preserve"> comparable on-line course</w:t>
      </w:r>
      <w:r w:rsidR="00625719" w:rsidRPr="000F7617">
        <w:rPr>
          <w:rFonts w:ascii="Calibri" w:hAnsi="Calibri" w:cs="Helvetica"/>
          <w:color w:val="333333"/>
        </w:rPr>
        <w:br/>
      </w:r>
      <w:r w:rsidR="00625719" w:rsidRPr="000F7617">
        <w:rPr>
          <w:rFonts w:ascii="Calibri" w:hAnsi="Calibri" w:cs="Helvetica"/>
          <w:color w:val="333333"/>
          <w:shd w:val="clear" w:color="auto" w:fill="FFFFFF"/>
        </w:rPr>
        <w:t xml:space="preserve">MGMT 3141 Principles of Management </w:t>
      </w:r>
      <w:r w:rsidR="00625719" w:rsidRPr="000F7617">
        <w:rPr>
          <w:rFonts w:ascii="Calibri" w:hAnsi="Calibri" w:cs="Helvetica"/>
          <w:b/>
          <w:color w:val="333333"/>
          <w:shd w:val="clear" w:color="auto" w:fill="FFFFFF"/>
        </w:rPr>
        <w:t>OR</w:t>
      </w:r>
      <w:r w:rsidR="00625719" w:rsidRPr="000F7617">
        <w:rPr>
          <w:rFonts w:ascii="Calibri" w:hAnsi="Calibri" w:cs="Helvetica"/>
          <w:color w:val="333333"/>
        </w:rPr>
        <w:br/>
      </w:r>
      <w:r w:rsidR="00E17F41">
        <w:rPr>
          <w:rFonts w:ascii="Calibri" w:hAnsi="Calibri" w:cs="Helvetica"/>
          <w:color w:val="333333"/>
          <w:shd w:val="clear" w:color="auto" w:fill="FFFFFF"/>
        </w:rPr>
        <w:t>P</w:t>
      </w:r>
      <w:r w:rsidR="005F77EF">
        <w:rPr>
          <w:rFonts w:ascii="Calibri" w:hAnsi="Calibri" w:cs="Helvetica"/>
          <w:color w:val="333333"/>
          <w:shd w:val="clear" w:color="auto" w:fill="FFFFFF"/>
        </w:rPr>
        <w:t>OLS</w:t>
      </w:r>
      <w:r w:rsidR="00625719" w:rsidRPr="000F7617">
        <w:rPr>
          <w:rFonts w:ascii="Calibri" w:hAnsi="Calibri" w:cs="Helvetica"/>
          <w:color w:val="333333"/>
          <w:shd w:val="clear" w:color="auto" w:fill="FFFFFF"/>
        </w:rPr>
        <w:t> 3338 Principles of Public Administration</w:t>
      </w:r>
    </w:p>
    <w:p w:rsidR="00625719" w:rsidRPr="001F36BA" w:rsidRDefault="00625719" w:rsidP="00625719">
      <w:pPr>
        <w:pStyle w:val="ListParagraph"/>
        <w:numPr>
          <w:ilvl w:val="0"/>
          <w:numId w:val="1"/>
        </w:numPr>
        <w:rPr>
          <w:rFonts w:ascii="Calibri" w:hAnsi="Calibri" w:cs="Helvetica"/>
          <w:color w:val="333333"/>
          <w:shd w:val="clear" w:color="auto" w:fill="FFFFFF"/>
        </w:rPr>
      </w:pPr>
      <w:r>
        <w:rPr>
          <w:rFonts w:ascii="Calibri" w:hAnsi="Calibri" w:cs="Helvetica"/>
          <w:b/>
          <w:color w:val="333333"/>
          <w:u w:val="single"/>
          <w:shd w:val="clear" w:color="auto" w:fill="FFFFFF"/>
        </w:rPr>
        <w:t>Nonprofit Leadership Student Association</w:t>
      </w:r>
    </w:p>
    <w:p w:rsidR="00625719" w:rsidRDefault="00625719" w:rsidP="00625719">
      <w:pPr>
        <w:pStyle w:val="ListParagraph"/>
        <w:rPr>
          <w:rFonts w:ascii="Calibri" w:hAnsi="Calibri" w:cs="Helvetica"/>
          <w:color w:val="333333"/>
          <w:shd w:val="clear" w:color="auto" w:fill="FFFFFF"/>
        </w:rPr>
      </w:pPr>
      <w:r>
        <w:rPr>
          <w:rFonts w:ascii="Calibri" w:hAnsi="Calibri" w:cs="Helvetica"/>
          <w:color w:val="333333"/>
          <w:shd w:val="clear" w:color="auto" w:fill="FFFFFF"/>
        </w:rPr>
        <w:t>Full participation in NLSA is required as experiential learning.  Activities include, speaker series, fund raising, event planning, proper organizational structure and procedure and other experiences related to fulfilling the 10 competencies of the certification.</w:t>
      </w:r>
    </w:p>
    <w:p w:rsidR="00625719" w:rsidRPr="001F36BA" w:rsidRDefault="00625719" w:rsidP="00625719">
      <w:pPr>
        <w:pStyle w:val="ListParagraph"/>
        <w:numPr>
          <w:ilvl w:val="0"/>
          <w:numId w:val="1"/>
        </w:numPr>
        <w:rPr>
          <w:rFonts w:ascii="Calibri" w:hAnsi="Calibri" w:cs="Helvetica"/>
          <w:color w:val="333333"/>
          <w:shd w:val="clear" w:color="auto" w:fill="FFFFFF"/>
        </w:rPr>
      </w:pPr>
      <w:r>
        <w:rPr>
          <w:rFonts w:ascii="Calibri" w:hAnsi="Calibri" w:cs="Helvetica"/>
          <w:b/>
          <w:color w:val="333333"/>
          <w:u w:val="single"/>
          <w:shd w:val="clear" w:color="auto" w:fill="FFFFFF"/>
        </w:rPr>
        <w:t>Alliance Management Institute</w:t>
      </w:r>
    </w:p>
    <w:p w:rsidR="00625719" w:rsidRDefault="00625719" w:rsidP="00625719">
      <w:pPr>
        <w:pStyle w:val="ListParagraph"/>
        <w:rPr>
          <w:rFonts w:ascii="Calibri" w:hAnsi="Calibri" w:cs="Helvetica"/>
          <w:color w:val="333333"/>
          <w:shd w:val="clear" w:color="auto" w:fill="FFFFFF"/>
        </w:rPr>
      </w:pPr>
      <w:r>
        <w:rPr>
          <w:rFonts w:ascii="Calibri" w:hAnsi="Calibri" w:cs="Helvetica"/>
          <w:color w:val="333333"/>
          <w:shd w:val="clear" w:color="auto" w:fill="FFFFFF"/>
        </w:rPr>
        <w:t>Every student must attend AMI at least once time.  It is an annual institute provided by NLA, Inc. Nationally known speakers from the field, case studies, mock interviews, networking with nonprofit organizations, and other NLA students from across the country, are involved in this intensive 3 day conference.  Students are required to raise the money to attend.</w:t>
      </w:r>
    </w:p>
    <w:p w:rsidR="00625719" w:rsidRDefault="00625719" w:rsidP="00625719">
      <w:pPr>
        <w:pStyle w:val="ListParagraph"/>
        <w:numPr>
          <w:ilvl w:val="0"/>
          <w:numId w:val="1"/>
        </w:numPr>
        <w:rPr>
          <w:rFonts w:ascii="Calibri" w:hAnsi="Calibri" w:cs="Helvetica"/>
          <w:b/>
          <w:color w:val="333333"/>
          <w:u w:val="single"/>
          <w:shd w:val="clear" w:color="auto" w:fill="FFFFFF"/>
        </w:rPr>
      </w:pPr>
      <w:r>
        <w:rPr>
          <w:rFonts w:ascii="Calibri" w:hAnsi="Calibri" w:cs="Helvetica"/>
          <w:b/>
          <w:color w:val="333333"/>
          <w:u w:val="single"/>
          <w:shd w:val="clear" w:color="auto" w:fill="FFFFFF"/>
        </w:rPr>
        <w:t>Internship</w:t>
      </w:r>
    </w:p>
    <w:p w:rsidR="00625719" w:rsidRDefault="00625719" w:rsidP="00625719">
      <w:pPr>
        <w:pStyle w:val="ListParagraph"/>
        <w:rPr>
          <w:rFonts w:ascii="Calibri" w:hAnsi="Calibri" w:cs="Helvetica"/>
          <w:color w:val="333333"/>
          <w:shd w:val="clear" w:color="auto" w:fill="FFFFFF"/>
        </w:rPr>
      </w:pPr>
      <w:r>
        <w:rPr>
          <w:rFonts w:ascii="Calibri" w:hAnsi="Calibri" w:cs="Helvetica"/>
          <w:color w:val="333333"/>
          <w:shd w:val="clear" w:color="auto" w:fill="FFFFFF"/>
        </w:rPr>
        <w:t>Every student must complete a 300 hour (non-academic credit) internship within an approved nonprofit setting.</w:t>
      </w:r>
    </w:p>
    <w:p w:rsidR="00625719" w:rsidRDefault="00625719" w:rsidP="00625719">
      <w:pPr>
        <w:pStyle w:val="ListParagraph"/>
        <w:numPr>
          <w:ilvl w:val="0"/>
          <w:numId w:val="1"/>
        </w:numPr>
        <w:rPr>
          <w:rFonts w:ascii="Calibri" w:hAnsi="Calibri" w:cs="Helvetica"/>
          <w:b/>
          <w:color w:val="333333"/>
          <w:u w:val="single"/>
          <w:shd w:val="clear" w:color="auto" w:fill="FFFFFF"/>
        </w:rPr>
      </w:pPr>
      <w:r>
        <w:rPr>
          <w:rFonts w:ascii="Calibri" w:hAnsi="Calibri" w:cs="Helvetica"/>
          <w:b/>
          <w:color w:val="333333"/>
          <w:u w:val="single"/>
          <w:shd w:val="clear" w:color="auto" w:fill="FFFFFF"/>
        </w:rPr>
        <w:t>Portfolio</w:t>
      </w:r>
    </w:p>
    <w:p w:rsidR="00625719" w:rsidRDefault="00625719" w:rsidP="00625719">
      <w:pPr>
        <w:pStyle w:val="ListParagraph"/>
        <w:rPr>
          <w:rFonts w:ascii="Calibri" w:hAnsi="Calibri" w:cs="Helvetica"/>
          <w:color w:val="333333"/>
          <w:shd w:val="clear" w:color="auto" w:fill="FFFFFF"/>
        </w:rPr>
      </w:pPr>
      <w:r>
        <w:rPr>
          <w:rFonts w:ascii="Calibri" w:hAnsi="Calibri" w:cs="Helvetica"/>
          <w:color w:val="333333"/>
          <w:shd w:val="clear" w:color="auto" w:fill="FFFFFF"/>
        </w:rPr>
        <w:t>Every student must document the various experiences and requirements leading to competency achievement through an online portfolio system.</w:t>
      </w:r>
    </w:p>
    <w:p w:rsidR="00625719" w:rsidRPr="00BF7E26" w:rsidRDefault="00625719" w:rsidP="00625719">
      <w:pPr>
        <w:pStyle w:val="ListParagraph"/>
        <w:numPr>
          <w:ilvl w:val="0"/>
          <w:numId w:val="1"/>
        </w:numPr>
        <w:rPr>
          <w:rFonts w:ascii="Calibri" w:hAnsi="Calibri" w:cs="Helvetica"/>
          <w:b/>
          <w:color w:val="333333"/>
          <w:u w:val="single"/>
          <w:shd w:val="clear" w:color="auto" w:fill="FFFFFF"/>
        </w:rPr>
      </w:pPr>
      <w:r>
        <w:rPr>
          <w:rFonts w:ascii="Calibri" w:hAnsi="Calibri" w:cs="Helvetica"/>
          <w:b/>
          <w:color w:val="333333"/>
          <w:u w:val="single"/>
          <w:shd w:val="clear" w:color="auto" w:fill="FFFFFF"/>
        </w:rPr>
        <w:t>Completion of the undergraduate degree</w:t>
      </w:r>
    </w:p>
    <w:p w:rsidR="00625719" w:rsidRDefault="00625719" w:rsidP="00625719">
      <w:pPr>
        <w:rPr>
          <w:rFonts w:ascii="Calibri" w:hAnsi="Calibri" w:cs="Helvetica"/>
          <w:color w:val="333333"/>
          <w:shd w:val="clear" w:color="auto" w:fill="FFFFFF"/>
        </w:rPr>
      </w:pPr>
    </w:p>
    <w:p w:rsidR="00625719" w:rsidRDefault="00625719" w:rsidP="00625719">
      <w:pPr>
        <w:rPr>
          <w:rFonts w:ascii="Calibri" w:hAnsi="Calibri" w:cs="Helvetica"/>
          <w:b/>
          <w:color w:val="333333"/>
          <w:u w:val="single"/>
          <w:shd w:val="clear" w:color="auto" w:fill="FFFFFF"/>
        </w:rPr>
      </w:pPr>
      <w:r>
        <w:rPr>
          <w:rFonts w:ascii="Calibri" w:hAnsi="Calibri" w:cs="Helvetica"/>
          <w:b/>
          <w:color w:val="333333"/>
          <w:u w:val="single"/>
          <w:shd w:val="clear" w:color="auto" w:fill="FFFFFF"/>
        </w:rPr>
        <w:t>Competencies to be achieved for Certification</w:t>
      </w:r>
    </w:p>
    <w:p w:rsidR="00625719"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Communication, Marketing and Public Relations</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knowledge, attitudes and activities that nonprofit organizations use to understand, inform and influence their various constituencies</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Cultural Competency and Diversity</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the development of cultural competency preparation for professional practice in culturally diverse settings</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lastRenderedPageBreak/>
        <w:t>Financial Resource Development and Management</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financial resource acquisition, budgeting, financial management, control and transparency in nonprofit organizations</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Foundations &amp; Management of the Nonprofit Sector</w:t>
      </w:r>
      <w:r w:rsidRPr="00BF7E26">
        <w:rPr>
          <w:rFonts w:ascii="Calibri" w:hAnsi="Calibri" w:cs="Arial"/>
          <w:color w:val="333333"/>
          <w:sz w:val="22"/>
          <w:szCs w:val="22"/>
        </w:rPr>
        <w:br/>
      </w:r>
      <w:proofErr w:type="gramStart"/>
      <w:r w:rsidRPr="00BF7E26">
        <w:rPr>
          <w:rStyle w:val="Emphasis"/>
          <w:rFonts w:ascii="Calibri" w:hAnsi="Calibri" w:cs="Arial"/>
          <w:color w:val="333333"/>
          <w:sz w:val="22"/>
          <w:szCs w:val="22"/>
        </w:rPr>
        <w:t>Highlights</w:t>
      </w:r>
      <w:proofErr w:type="gramEnd"/>
      <w:r w:rsidRPr="00BF7E26">
        <w:rPr>
          <w:rStyle w:val="Emphasis"/>
          <w:rFonts w:ascii="Calibri" w:hAnsi="Calibri" w:cs="Arial"/>
          <w:color w:val="333333"/>
          <w:sz w:val="22"/>
          <w:szCs w:val="22"/>
        </w:rPr>
        <w:t xml:space="preserve"> the history, contributions, and unique characteristics of the nonprofit sector and its management</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Governance, Leadership and Advocacy</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the stewardship and advocacy roles, responsibilities and leadership of the board of directors, staff and volunteers in the development of policies, procedures, and processes by which nonprofits operate and are held accountable</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Legal and Ethical Decision Making</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basic laws, regulations and professional standards that govern nonprofit sector operations, including a basic knowledge of risk and crisis management, ethics, and decision-making</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Personal and Professional Development</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the nature of employment in the nonprofit sector, from researching career opportunities, applying and interview for a job, to continuing professional development</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Program Development</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program design, implementation, and evaluation strategies applicable to all nonprofits (youth services, arts, environment, health, recreation, social services, advocacy, etc.)</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Volunteer and Human Resource Management</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the knowledge, skills, and techniques for managing volunteer and paid staff</w:t>
      </w:r>
    </w:p>
    <w:p w:rsidR="00625719" w:rsidRPr="00BF7E26" w:rsidRDefault="00625719" w:rsidP="00625719">
      <w:pPr>
        <w:pStyle w:val="NormalWeb"/>
        <w:shd w:val="clear" w:color="auto" w:fill="FFFFFF"/>
        <w:spacing w:before="0" w:beforeAutospacing="0" w:after="300" w:afterAutospacing="0" w:line="360" w:lineRule="atLeast"/>
        <w:rPr>
          <w:rFonts w:ascii="Calibri" w:hAnsi="Calibri" w:cs="Arial"/>
          <w:color w:val="333333"/>
          <w:sz w:val="22"/>
          <w:szCs w:val="22"/>
        </w:rPr>
      </w:pPr>
      <w:r w:rsidRPr="00BF7E26">
        <w:rPr>
          <w:rStyle w:val="Strong"/>
          <w:rFonts w:ascii="Calibri" w:hAnsi="Calibri" w:cs="Arial"/>
          <w:color w:val="333333"/>
          <w:sz w:val="22"/>
          <w:szCs w:val="22"/>
        </w:rPr>
        <w:t>Future of the Nonprofit Sector</w:t>
      </w:r>
      <w:r w:rsidRPr="00BF7E26">
        <w:rPr>
          <w:rStyle w:val="apple-converted-space"/>
          <w:rFonts w:ascii="Calibri" w:hAnsi="Calibri" w:cs="Arial"/>
          <w:color w:val="333333"/>
          <w:sz w:val="22"/>
          <w:szCs w:val="22"/>
        </w:rPr>
        <w:t> </w:t>
      </w:r>
      <w:r w:rsidRPr="00BF7E26">
        <w:rPr>
          <w:rFonts w:ascii="Calibri" w:hAnsi="Calibri" w:cs="Arial"/>
          <w:color w:val="333333"/>
          <w:sz w:val="22"/>
          <w:szCs w:val="22"/>
        </w:rPr>
        <w:br/>
      </w:r>
      <w:r w:rsidRPr="00BF7E26">
        <w:rPr>
          <w:rStyle w:val="Emphasis"/>
          <w:rFonts w:ascii="Calibri" w:hAnsi="Calibri" w:cs="Arial"/>
          <w:color w:val="333333"/>
          <w:sz w:val="22"/>
          <w:szCs w:val="22"/>
        </w:rPr>
        <w:t>Highlights the dynamic nature of the nonprofit sector, the importance of continuous improvement, emerging trends and innovations, and the critical role research plays in shaping best practices</w:t>
      </w:r>
    </w:p>
    <w:p w:rsidR="002A2661" w:rsidRDefault="00D9248C"/>
    <w:sectPr w:rsidR="002A2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714A1"/>
    <w:multiLevelType w:val="hybridMultilevel"/>
    <w:tmpl w:val="A9082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19"/>
    <w:rsid w:val="00200C7D"/>
    <w:rsid w:val="005F77EF"/>
    <w:rsid w:val="00625719"/>
    <w:rsid w:val="00677CB6"/>
    <w:rsid w:val="008C576F"/>
    <w:rsid w:val="00AD4CCD"/>
    <w:rsid w:val="00C27C97"/>
    <w:rsid w:val="00D9248C"/>
    <w:rsid w:val="00E1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4975-687F-4FB7-946C-ED9C4C4C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1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19"/>
    <w:pPr>
      <w:ind w:left="720"/>
      <w:contextualSpacing/>
    </w:pPr>
  </w:style>
  <w:style w:type="paragraph" w:styleId="NormalWeb">
    <w:name w:val="Normal (Web)"/>
    <w:basedOn w:val="Normal"/>
    <w:uiPriority w:val="99"/>
    <w:semiHidden/>
    <w:unhideWhenUsed/>
    <w:rsid w:val="006257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719"/>
    <w:rPr>
      <w:b/>
      <w:bCs/>
    </w:rPr>
  </w:style>
  <w:style w:type="character" w:styleId="Emphasis">
    <w:name w:val="Emphasis"/>
    <w:basedOn w:val="DefaultParagraphFont"/>
    <w:uiPriority w:val="20"/>
    <w:qFormat/>
    <w:rsid w:val="00625719"/>
    <w:rPr>
      <w:i/>
      <w:iCs/>
    </w:rPr>
  </w:style>
  <w:style w:type="character" w:customStyle="1" w:styleId="apple-converted-space">
    <w:name w:val="apple-converted-space"/>
    <w:basedOn w:val="DefaultParagraphFont"/>
    <w:rsid w:val="0062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McClure</dc:creator>
  <cp:keywords/>
  <dc:description/>
  <cp:lastModifiedBy>craig turner</cp:lastModifiedBy>
  <cp:revision>2</cp:revision>
  <dcterms:created xsi:type="dcterms:W3CDTF">2016-03-29T20:36:00Z</dcterms:created>
  <dcterms:modified xsi:type="dcterms:W3CDTF">2016-03-29T20:36:00Z</dcterms:modified>
</cp:coreProperties>
</file>