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81783E" w14:textId="4E09D555" w:rsidR="000B7E4C" w:rsidRPr="001120B2" w:rsidRDefault="000B7E4C" w:rsidP="000B7E4C">
      <w:pPr>
        <w:spacing w:line="930" w:lineRule="atLeast"/>
        <w:textAlignment w:val="baseline"/>
        <w:outlineLvl w:val="0"/>
        <w:rPr>
          <w:rFonts w:ascii="Helvetica" w:eastAsia="Times New Roman" w:hAnsi="Helvetica" w:cs="Times New Roman"/>
          <w:color w:val="003366"/>
          <w:kern w:val="36"/>
          <w:sz w:val="36"/>
          <w:szCs w:val="36"/>
        </w:rPr>
      </w:pPr>
      <w:r w:rsidRPr="001120B2">
        <w:rPr>
          <w:rFonts w:ascii="Helvetica" w:eastAsia="Times New Roman" w:hAnsi="Helvetica" w:cs="Times New Roman"/>
          <w:color w:val="003366"/>
          <w:kern w:val="36"/>
          <w:sz w:val="36"/>
          <w:szCs w:val="36"/>
        </w:rPr>
        <w:t>Faculty Appointments, Qualifications for</w:t>
      </w:r>
    </w:p>
    <w:p w14:paraId="75AA5511" w14:textId="20DB6EB6" w:rsidR="001E371C" w:rsidRPr="001120B2" w:rsidRDefault="000B7E4C" w:rsidP="000B7E4C">
      <w:pPr>
        <w:spacing w:line="480" w:lineRule="atLeast"/>
        <w:textAlignment w:val="baseline"/>
        <w:rPr>
          <w:rFonts w:ascii="Helvetica" w:eastAsia="Times New Roman" w:hAnsi="Helvetica" w:cs="Times New Roman"/>
          <w:color w:val="333333"/>
        </w:rPr>
      </w:pPr>
      <w:r w:rsidRPr="001120B2">
        <w:rPr>
          <w:rFonts w:ascii="Helvetica" w:eastAsia="Times New Roman" w:hAnsi="Helvetica" w:cs="Times New Roman"/>
          <w:color w:val="333333"/>
        </w:rPr>
        <w:t>Policy: Board of Regents Policy Manual, Section</w:t>
      </w:r>
      <w:r w:rsidR="001E371C" w:rsidRPr="001120B2">
        <w:rPr>
          <w:rFonts w:ascii="Helvetica" w:eastAsia="Times New Roman" w:hAnsi="Helvetica" w:cs="Times New Roman"/>
          <w:color w:val="333333"/>
        </w:rPr>
        <w:t xml:space="preserve"> </w:t>
      </w:r>
      <w:r w:rsidRPr="001120B2">
        <w:rPr>
          <w:rFonts w:ascii="Helvetica" w:eastAsia="Times New Roman" w:hAnsi="Helvetica" w:cs="Times New Roman"/>
          <w:color w:val="333333"/>
        </w:rPr>
        <w:t>8.3.1.2</w:t>
      </w:r>
      <w:r w:rsidR="001E371C" w:rsidRPr="001120B2">
        <w:rPr>
          <w:rFonts w:ascii="Helvetica" w:eastAsia="Times New Roman" w:hAnsi="Helvetica" w:cs="Times New Roman"/>
          <w:color w:val="333333"/>
        </w:rPr>
        <w:t xml:space="preserve">, </w:t>
      </w:r>
      <w:r w:rsidRPr="001120B2">
        <w:rPr>
          <w:rFonts w:ascii="Helvetica" w:eastAsia="Times New Roman" w:hAnsi="Helvetica" w:cs="Times New Roman"/>
          <w:color w:val="333333"/>
        </w:rPr>
        <w:t> </w:t>
      </w:r>
    </w:p>
    <w:p w14:paraId="76EEC919" w14:textId="4C7966CB" w:rsidR="000B7E4C" w:rsidRPr="001120B2" w:rsidRDefault="001120B2" w:rsidP="000B7E4C">
      <w:pPr>
        <w:spacing w:line="480" w:lineRule="atLeast"/>
        <w:textAlignment w:val="baseline"/>
        <w:rPr>
          <w:rFonts w:ascii="Helvetica" w:eastAsia="Times New Roman" w:hAnsi="Helvetica" w:cs="Times New Roman"/>
          <w:color w:val="333333"/>
        </w:rPr>
      </w:pPr>
      <w:hyperlink r:id="rId5" w:history="1">
        <w:r w:rsidR="001E371C" w:rsidRPr="001120B2">
          <w:rPr>
            <w:rStyle w:val="Hyperlink"/>
            <w:rFonts w:ascii="Helvetica" w:eastAsia="Times New Roman" w:hAnsi="Helvetica" w:cs="Times New Roman"/>
            <w:bdr w:val="none" w:sz="0" w:space="0" w:color="auto" w:frame="1"/>
          </w:rPr>
          <w:t>http://www.usg.edu/policymanual/section8/</w:t>
        </w:r>
      </w:hyperlink>
    </w:p>
    <w:p w14:paraId="599558A9" w14:textId="77777777" w:rsidR="000B7E4C" w:rsidRPr="001120B2" w:rsidRDefault="000B7E4C" w:rsidP="000B7E4C">
      <w:pPr>
        <w:spacing w:line="480" w:lineRule="atLeast"/>
        <w:textAlignment w:val="baseline"/>
        <w:rPr>
          <w:rFonts w:ascii="Helvetica" w:eastAsia="Times New Roman" w:hAnsi="Helvetica" w:cs="Times New Roman"/>
          <w:color w:val="333333"/>
        </w:rPr>
      </w:pPr>
    </w:p>
    <w:p w14:paraId="66020FA8" w14:textId="50BAC34C" w:rsidR="00F1012B" w:rsidRPr="001120B2" w:rsidRDefault="000B7E4C" w:rsidP="000B7E4C">
      <w:pPr>
        <w:spacing w:line="480" w:lineRule="atLeast"/>
        <w:textAlignment w:val="baseline"/>
        <w:rPr>
          <w:rFonts w:ascii="Helvetica" w:eastAsia="Times New Roman" w:hAnsi="Helvetica" w:cs="Times New Roman"/>
          <w:color w:val="333333"/>
        </w:rPr>
      </w:pPr>
      <w:r w:rsidRPr="001120B2">
        <w:rPr>
          <w:rFonts w:ascii="Helvetica" w:eastAsia="Times New Roman" w:hAnsi="Helvetica" w:cs="Times New Roman"/>
          <w:color w:val="333333"/>
        </w:rPr>
        <w:t>In accordance with Board of Regents' policy and SACS</w:t>
      </w:r>
      <w:r w:rsidR="00231562" w:rsidRPr="001120B2">
        <w:rPr>
          <w:rFonts w:ascii="Helvetica" w:eastAsia="Times New Roman" w:hAnsi="Helvetica" w:cs="Times New Roman"/>
          <w:color w:val="333333"/>
        </w:rPr>
        <w:t>COC</w:t>
      </w:r>
      <w:r w:rsidRPr="001120B2">
        <w:rPr>
          <w:rFonts w:ascii="Helvetica" w:eastAsia="Times New Roman" w:hAnsi="Helvetica" w:cs="Times New Roman"/>
          <w:color w:val="333333"/>
        </w:rPr>
        <w:t xml:space="preserve"> requirements </w:t>
      </w:r>
      <w:r w:rsidR="0009005E" w:rsidRPr="001120B2">
        <w:rPr>
          <w:rFonts w:ascii="Helvetica" w:eastAsia="Times New Roman" w:hAnsi="Helvetica" w:cs="Times New Roman"/>
          <w:color w:val="333333"/>
        </w:rPr>
        <w:t>(</w:t>
      </w:r>
      <w:hyperlink r:id="rId6" w:history="1">
        <w:r w:rsidR="0009005E" w:rsidRPr="001120B2">
          <w:rPr>
            <w:rStyle w:val="Hyperlink"/>
            <w:rFonts w:ascii="Helvetica" w:eastAsia="Times New Roman" w:hAnsi="Helvetica" w:cs="Times New Roman"/>
          </w:rPr>
          <w:t>https://sacscoc.org/app/uploads/2019/07/faculty-credentials.pdf</w:t>
        </w:r>
      </w:hyperlink>
      <w:r w:rsidR="0009005E" w:rsidRPr="001120B2">
        <w:rPr>
          <w:rFonts w:ascii="Helvetica" w:eastAsia="Times New Roman" w:hAnsi="Helvetica" w:cs="Times New Roman"/>
        </w:rPr>
        <w:t>)</w:t>
      </w:r>
      <w:r w:rsidR="0009005E" w:rsidRPr="001120B2">
        <w:rPr>
          <w:rFonts w:ascii="Helvetica" w:eastAsia="Times New Roman" w:hAnsi="Helvetica" w:cs="Times New Roman"/>
          <w:color w:val="333333"/>
        </w:rPr>
        <w:t>, all</w:t>
      </w:r>
      <w:r w:rsidRPr="001120B2">
        <w:rPr>
          <w:rFonts w:ascii="Helvetica" w:eastAsia="Times New Roman" w:hAnsi="Helvetica" w:cs="Times New Roman"/>
          <w:color w:val="333333"/>
        </w:rPr>
        <w:t xml:space="preserve"> persons recommended for teaching appointments (both full- time and part-time) must hold at least a Master's degree. </w:t>
      </w:r>
      <w:r w:rsidR="00F1012B" w:rsidRPr="001120B2">
        <w:rPr>
          <w:rFonts w:ascii="Helvetica" w:eastAsia="Times New Roman" w:hAnsi="Helvetica" w:cs="Times New Roman"/>
          <w:color w:val="333333"/>
        </w:rPr>
        <w:t xml:space="preserve">The only exception to this requirement </w:t>
      </w:r>
      <w:r w:rsidR="000E3401" w:rsidRPr="001120B2">
        <w:rPr>
          <w:rFonts w:ascii="Helvetica" w:eastAsia="Times New Roman" w:hAnsi="Helvetica" w:cs="Times New Roman"/>
          <w:color w:val="333333"/>
        </w:rPr>
        <w:t xml:space="preserve">is </w:t>
      </w:r>
      <w:r w:rsidR="00F1012B" w:rsidRPr="001120B2">
        <w:rPr>
          <w:rFonts w:ascii="Helvetica" w:eastAsia="Times New Roman" w:hAnsi="Helvetica" w:cs="Times New Roman"/>
          <w:color w:val="333333"/>
        </w:rPr>
        <w:t xml:space="preserve">that on </w:t>
      </w:r>
      <w:r w:rsidR="0009005E" w:rsidRPr="001120B2">
        <w:rPr>
          <w:rFonts w:ascii="Helvetica" w:eastAsia="Times New Roman" w:hAnsi="Helvetica" w:cs="Times New Roman"/>
          <w:color w:val="333333"/>
        </w:rPr>
        <w:t xml:space="preserve">rare occasions, the case for </w:t>
      </w:r>
      <w:r w:rsidR="00F1012B" w:rsidRPr="001120B2">
        <w:rPr>
          <w:rFonts w:ascii="Helvetica" w:eastAsia="Times New Roman" w:hAnsi="Helvetica" w:cs="Times New Roman"/>
          <w:color w:val="333333"/>
        </w:rPr>
        <w:t>alternative faculty credentials</w:t>
      </w:r>
      <w:r w:rsidR="0009005E" w:rsidRPr="001120B2">
        <w:rPr>
          <w:rFonts w:ascii="Helvetica" w:eastAsia="Times New Roman" w:hAnsi="Helvetica" w:cs="Times New Roman"/>
          <w:color w:val="333333"/>
        </w:rPr>
        <w:t xml:space="preserve"> may be presented</w:t>
      </w:r>
      <w:r w:rsidR="00F1012B" w:rsidRPr="001120B2">
        <w:rPr>
          <w:rFonts w:ascii="Helvetica" w:eastAsia="Times New Roman" w:hAnsi="Helvetica" w:cs="Times New Roman"/>
          <w:color w:val="333333"/>
        </w:rPr>
        <w:t xml:space="preserve"> </w:t>
      </w:r>
      <w:r w:rsidR="000E3401" w:rsidRPr="001120B2">
        <w:rPr>
          <w:rFonts w:ascii="Helvetica" w:eastAsia="Times New Roman" w:hAnsi="Helvetica" w:cs="Times New Roman"/>
          <w:color w:val="333333"/>
        </w:rPr>
        <w:t xml:space="preserve">if an overwhelming case can be made for the exception. On the occasion that a candidate for a position has outstanding qualifications in a discipline that were achieved outside of traditional academic preparation, the case for </w:t>
      </w:r>
      <w:r w:rsidR="000E3401" w:rsidRPr="001120B2">
        <w:rPr>
          <w:rFonts w:ascii="Helvetica" w:eastAsia="Times New Roman" w:hAnsi="Helvetica" w:cs="Times New Roman"/>
          <w:i/>
          <w:iCs/>
          <w:color w:val="333333"/>
        </w:rPr>
        <w:t>alternative qualification</w:t>
      </w:r>
      <w:r w:rsidR="000E3401" w:rsidRPr="001120B2">
        <w:rPr>
          <w:rFonts w:ascii="Helvetica" w:eastAsia="Times New Roman" w:hAnsi="Helvetica" w:cs="Times New Roman"/>
          <w:color w:val="333333"/>
        </w:rPr>
        <w:t xml:space="preserve"> may be considered. </w:t>
      </w:r>
      <w:r w:rsidR="00F1012B" w:rsidRPr="001120B2">
        <w:rPr>
          <w:rFonts w:ascii="Helvetica" w:eastAsia="Times New Roman" w:hAnsi="Helvetica" w:cs="Times New Roman"/>
          <w:color w:val="333333"/>
        </w:rPr>
        <w:t>In these rare exceptions,</w:t>
      </w:r>
      <w:r w:rsidRPr="001120B2">
        <w:rPr>
          <w:rFonts w:ascii="Helvetica" w:eastAsia="Times New Roman" w:hAnsi="Helvetica" w:cs="Times New Roman"/>
          <w:color w:val="333333"/>
        </w:rPr>
        <w:t xml:space="preserve"> </w:t>
      </w:r>
      <w:r w:rsidR="00F1012B" w:rsidRPr="001120B2">
        <w:rPr>
          <w:rFonts w:ascii="Helvetica" w:eastAsia="Times New Roman" w:hAnsi="Helvetica" w:cs="Times New Roman"/>
          <w:color w:val="333333"/>
        </w:rPr>
        <w:t>the requirement</w:t>
      </w:r>
      <w:r w:rsidRPr="001120B2">
        <w:rPr>
          <w:rFonts w:ascii="Helvetica" w:eastAsia="Times New Roman" w:hAnsi="Helvetica" w:cs="Times New Roman"/>
          <w:color w:val="333333"/>
        </w:rPr>
        <w:t xml:space="preserve"> </w:t>
      </w:r>
      <w:r w:rsidR="00DA6920" w:rsidRPr="001120B2">
        <w:rPr>
          <w:rFonts w:ascii="Helvetica" w:eastAsia="Times New Roman" w:hAnsi="Helvetica" w:cs="Times New Roman"/>
          <w:color w:val="333333"/>
        </w:rPr>
        <w:t>is that the</w:t>
      </w:r>
      <w:r w:rsidRPr="001120B2">
        <w:rPr>
          <w:rFonts w:ascii="Helvetica" w:eastAsia="Times New Roman" w:hAnsi="Helvetica" w:cs="Times New Roman"/>
          <w:color w:val="333333"/>
        </w:rPr>
        <w:t xml:space="preserve"> person have, </w:t>
      </w:r>
      <w:r w:rsidR="00DA6920" w:rsidRPr="001120B2">
        <w:rPr>
          <w:rFonts w:ascii="Helvetica" w:eastAsia="Times New Roman" w:hAnsi="Helvetica" w:cs="Times New Roman"/>
          <w:color w:val="333333"/>
        </w:rPr>
        <w:t xml:space="preserve">at a minimum, </w:t>
      </w:r>
      <w:r w:rsidR="00F1012B" w:rsidRPr="001120B2">
        <w:rPr>
          <w:rFonts w:ascii="Helvetica" w:eastAsia="Times New Roman" w:hAnsi="Helvetica" w:cs="Times New Roman"/>
          <w:color w:val="333333"/>
        </w:rPr>
        <w:t>a Bachelor’s degree</w:t>
      </w:r>
      <w:r w:rsidR="00DA6920" w:rsidRPr="001120B2">
        <w:rPr>
          <w:rFonts w:ascii="Helvetica" w:eastAsia="Times New Roman" w:hAnsi="Helvetica" w:cs="Times New Roman"/>
          <w:color w:val="333333"/>
        </w:rPr>
        <w:t xml:space="preserve">, </w:t>
      </w:r>
      <w:r w:rsidR="00F1012B" w:rsidRPr="001120B2">
        <w:rPr>
          <w:rFonts w:ascii="Helvetica" w:eastAsia="Times New Roman" w:hAnsi="Helvetica" w:cs="Times New Roman"/>
          <w:color w:val="333333"/>
        </w:rPr>
        <w:t xml:space="preserve">plus a strong record of experiences that would demonstrate their outstanding ability to teach outside of the discipline, or above their academic preparation. The experiences considered for alternative credentialing include but are not limited to: </w:t>
      </w:r>
    </w:p>
    <w:p w14:paraId="225F855E" w14:textId="77777777" w:rsidR="00F1012B" w:rsidRPr="001120B2" w:rsidRDefault="00F1012B" w:rsidP="000B7E4C">
      <w:pPr>
        <w:spacing w:line="480" w:lineRule="atLeast"/>
        <w:textAlignment w:val="baseline"/>
        <w:rPr>
          <w:rFonts w:ascii="Helvetica" w:eastAsia="Times New Roman" w:hAnsi="Helvetica" w:cs="Times New Roman"/>
          <w:color w:val="333333"/>
        </w:rPr>
      </w:pPr>
    </w:p>
    <w:p w14:paraId="457AAAD4" w14:textId="4012DE7E" w:rsidR="00F1012B" w:rsidRPr="001120B2" w:rsidRDefault="004C167F" w:rsidP="00DA6920">
      <w:pPr>
        <w:pStyle w:val="ListParagraph"/>
        <w:numPr>
          <w:ilvl w:val="0"/>
          <w:numId w:val="3"/>
        </w:numPr>
        <w:autoSpaceDE w:val="0"/>
        <w:autoSpaceDN w:val="0"/>
        <w:adjustRightInd w:val="0"/>
        <w:spacing w:line="480" w:lineRule="auto"/>
        <w:rPr>
          <w:rFonts w:ascii="Helvetica" w:hAnsi="Helvetica" w:cs="Times New Roman"/>
        </w:rPr>
      </w:pPr>
      <w:r w:rsidRPr="001120B2">
        <w:rPr>
          <w:rFonts w:ascii="Helvetica" w:hAnsi="Helvetica" w:cs="Times New Roman"/>
        </w:rPr>
        <w:t>Extensive and a</w:t>
      </w:r>
      <w:r w:rsidR="00F1012B" w:rsidRPr="001120B2">
        <w:rPr>
          <w:rFonts w:ascii="Helvetica" w:hAnsi="Helvetica" w:cs="Times New Roman"/>
        </w:rPr>
        <w:t>ppropriately related work experience in the field</w:t>
      </w:r>
    </w:p>
    <w:p w14:paraId="0DF865E1" w14:textId="27E32409" w:rsidR="00F1012B" w:rsidRPr="001120B2" w:rsidRDefault="00F1012B" w:rsidP="00DA6920">
      <w:pPr>
        <w:pStyle w:val="ListParagraph"/>
        <w:numPr>
          <w:ilvl w:val="0"/>
          <w:numId w:val="3"/>
        </w:numPr>
        <w:autoSpaceDE w:val="0"/>
        <w:autoSpaceDN w:val="0"/>
        <w:adjustRightInd w:val="0"/>
        <w:spacing w:line="480" w:lineRule="auto"/>
        <w:rPr>
          <w:rFonts w:ascii="Helvetica" w:hAnsi="Helvetica" w:cs="Times New Roman"/>
        </w:rPr>
      </w:pPr>
      <w:r w:rsidRPr="001120B2">
        <w:rPr>
          <w:rFonts w:ascii="Helvetica" w:hAnsi="Helvetica" w:cs="Times New Roman"/>
        </w:rPr>
        <w:t>Professional licensure related to teaching assignment</w:t>
      </w:r>
      <w:r w:rsidR="0079635D" w:rsidRPr="001120B2">
        <w:rPr>
          <w:rFonts w:ascii="Helvetica" w:hAnsi="Helvetica" w:cs="Times New Roman"/>
        </w:rPr>
        <w:t>s</w:t>
      </w:r>
    </w:p>
    <w:p w14:paraId="0D691A92" w14:textId="55390D28" w:rsidR="00F1012B" w:rsidRPr="001120B2" w:rsidRDefault="00F1012B" w:rsidP="00DA6920">
      <w:pPr>
        <w:pStyle w:val="ListParagraph"/>
        <w:numPr>
          <w:ilvl w:val="0"/>
          <w:numId w:val="3"/>
        </w:numPr>
        <w:autoSpaceDE w:val="0"/>
        <w:autoSpaceDN w:val="0"/>
        <w:adjustRightInd w:val="0"/>
        <w:spacing w:line="480" w:lineRule="auto"/>
        <w:rPr>
          <w:rFonts w:ascii="Helvetica" w:hAnsi="Helvetica" w:cs="Times New Roman"/>
        </w:rPr>
      </w:pPr>
      <w:r w:rsidRPr="001120B2">
        <w:rPr>
          <w:rFonts w:ascii="Helvetica" w:hAnsi="Helvetica" w:cs="Times New Roman"/>
        </w:rPr>
        <w:t>Professional certifications related to teaching assignments</w:t>
      </w:r>
    </w:p>
    <w:p w14:paraId="142CFE80" w14:textId="772020ED" w:rsidR="00F1012B" w:rsidRPr="001120B2" w:rsidRDefault="00F1012B" w:rsidP="00DA6920">
      <w:pPr>
        <w:pStyle w:val="ListParagraph"/>
        <w:numPr>
          <w:ilvl w:val="0"/>
          <w:numId w:val="3"/>
        </w:numPr>
        <w:autoSpaceDE w:val="0"/>
        <w:autoSpaceDN w:val="0"/>
        <w:adjustRightInd w:val="0"/>
        <w:spacing w:line="480" w:lineRule="auto"/>
        <w:rPr>
          <w:rFonts w:ascii="Helvetica" w:hAnsi="Helvetica" w:cs="Times New Roman"/>
        </w:rPr>
      </w:pPr>
      <w:r w:rsidRPr="001120B2">
        <w:rPr>
          <w:rFonts w:ascii="Helvetica" w:hAnsi="Helvetica" w:cs="Times New Roman"/>
        </w:rPr>
        <w:t>Related honors and awards</w:t>
      </w:r>
    </w:p>
    <w:p w14:paraId="1D2C3577" w14:textId="4F268FEC" w:rsidR="00F1012B" w:rsidRPr="001120B2" w:rsidRDefault="00F1012B" w:rsidP="00DA6920">
      <w:pPr>
        <w:pStyle w:val="ListParagraph"/>
        <w:numPr>
          <w:ilvl w:val="0"/>
          <w:numId w:val="3"/>
        </w:numPr>
        <w:autoSpaceDE w:val="0"/>
        <w:autoSpaceDN w:val="0"/>
        <w:adjustRightInd w:val="0"/>
        <w:spacing w:line="480" w:lineRule="auto"/>
        <w:rPr>
          <w:rFonts w:ascii="Helvetica" w:hAnsi="Helvetica" w:cs="Times New Roman"/>
        </w:rPr>
      </w:pPr>
      <w:r w:rsidRPr="001120B2">
        <w:rPr>
          <w:rFonts w:ascii="Helvetica" w:hAnsi="Helvetica" w:cs="Times New Roman"/>
        </w:rPr>
        <w:t>Current and continuing professional development</w:t>
      </w:r>
    </w:p>
    <w:p w14:paraId="646604E6" w14:textId="0BA2A0B6" w:rsidR="00F1012B" w:rsidRPr="001120B2" w:rsidRDefault="00F1012B" w:rsidP="00DA6920">
      <w:pPr>
        <w:pStyle w:val="ListParagraph"/>
        <w:numPr>
          <w:ilvl w:val="0"/>
          <w:numId w:val="3"/>
        </w:numPr>
        <w:autoSpaceDE w:val="0"/>
        <w:autoSpaceDN w:val="0"/>
        <w:adjustRightInd w:val="0"/>
        <w:spacing w:line="480" w:lineRule="auto"/>
        <w:rPr>
          <w:rFonts w:ascii="Helvetica" w:hAnsi="Helvetica" w:cs="Times New Roman"/>
        </w:rPr>
      </w:pPr>
      <w:r w:rsidRPr="001120B2">
        <w:rPr>
          <w:rFonts w:ascii="Helvetica" w:hAnsi="Helvetica" w:cs="Times New Roman"/>
        </w:rPr>
        <w:t>Relevant peer-reviewed publications</w:t>
      </w:r>
      <w:r w:rsidR="0079635D" w:rsidRPr="001120B2">
        <w:rPr>
          <w:rFonts w:ascii="Helvetica" w:hAnsi="Helvetica" w:cs="Times New Roman"/>
        </w:rPr>
        <w:t xml:space="preserve"> and research</w:t>
      </w:r>
    </w:p>
    <w:p w14:paraId="6AF4ED49" w14:textId="5A8CBE1B" w:rsidR="00F1012B" w:rsidRPr="001120B2" w:rsidRDefault="00F1012B" w:rsidP="00DA6920">
      <w:pPr>
        <w:pStyle w:val="ListParagraph"/>
        <w:numPr>
          <w:ilvl w:val="0"/>
          <w:numId w:val="3"/>
        </w:numPr>
        <w:autoSpaceDE w:val="0"/>
        <w:autoSpaceDN w:val="0"/>
        <w:adjustRightInd w:val="0"/>
        <w:spacing w:line="480" w:lineRule="auto"/>
        <w:rPr>
          <w:rFonts w:ascii="Helvetica" w:hAnsi="Helvetica" w:cs="Times New Roman"/>
        </w:rPr>
      </w:pPr>
      <w:r w:rsidRPr="001120B2">
        <w:rPr>
          <w:rFonts w:ascii="Helvetica" w:hAnsi="Helvetica" w:cs="Times New Roman"/>
        </w:rPr>
        <w:t>Continuous documented excellence in teaching</w:t>
      </w:r>
    </w:p>
    <w:p w14:paraId="56588079" w14:textId="77777777" w:rsidR="00DA6920" w:rsidRPr="001120B2" w:rsidRDefault="00DA6920" w:rsidP="000B7E4C">
      <w:pPr>
        <w:spacing w:line="480" w:lineRule="atLeast"/>
        <w:textAlignment w:val="baseline"/>
        <w:rPr>
          <w:rFonts w:ascii="Helvetica" w:eastAsia="Times New Roman" w:hAnsi="Helvetica" w:cs="Times New Roman"/>
          <w:color w:val="333333"/>
        </w:rPr>
      </w:pPr>
      <w:r w:rsidRPr="001120B2">
        <w:rPr>
          <w:rFonts w:ascii="Helvetica" w:eastAsia="Times New Roman" w:hAnsi="Helvetica" w:cs="Times New Roman"/>
          <w:color w:val="333333"/>
        </w:rPr>
        <w:lastRenderedPageBreak/>
        <w:t>These</w:t>
      </w:r>
      <w:r w:rsidR="000B7E4C" w:rsidRPr="001120B2">
        <w:rPr>
          <w:rFonts w:ascii="Helvetica" w:eastAsia="Times New Roman" w:hAnsi="Helvetica" w:cs="Times New Roman"/>
          <w:color w:val="333333"/>
        </w:rPr>
        <w:t xml:space="preserve"> special case</w:t>
      </w:r>
      <w:r w:rsidRPr="001120B2">
        <w:rPr>
          <w:rFonts w:ascii="Helvetica" w:eastAsia="Times New Roman" w:hAnsi="Helvetica" w:cs="Times New Roman"/>
          <w:color w:val="333333"/>
        </w:rPr>
        <w:t>s</w:t>
      </w:r>
      <w:r w:rsidR="000B7E4C" w:rsidRPr="001120B2">
        <w:rPr>
          <w:rFonts w:ascii="Helvetica" w:eastAsia="Times New Roman" w:hAnsi="Helvetica" w:cs="Times New Roman"/>
          <w:color w:val="333333"/>
        </w:rPr>
        <w:t xml:space="preserve"> must be supported with documentation upon request for </w:t>
      </w:r>
      <w:r w:rsidRPr="001120B2">
        <w:rPr>
          <w:rFonts w:ascii="Helvetica" w:eastAsia="Times New Roman" w:hAnsi="Helvetica" w:cs="Times New Roman"/>
          <w:color w:val="333333"/>
        </w:rPr>
        <w:t xml:space="preserve">the </w:t>
      </w:r>
      <w:r w:rsidR="000B7E4C" w:rsidRPr="001120B2">
        <w:rPr>
          <w:rFonts w:ascii="Helvetica" w:eastAsia="Times New Roman" w:hAnsi="Helvetica" w:cs="Times New Roman"/>
          <w:color w:val="333333"/>
        </w:rPr>
        <w:t xml:space="preserve">appointment and </w:t>
      </w:r>
      <w:r w:rsidRPr="001120B2">
        <w:rPr>
          <w:rFonts w:ascii="Helvetica" w:eastAsia="Times New Roman" w:hAnsi="Helvetica" w:cs="Times New Roman"/>
          <w:color w:val="333333"/>
        </w:rPr>
        <w:t xml:space="preserve">must be </w:t>
      </w:r>
      <w:r w:rsidR="000B7E4C" w:rsidRPr="001120B2">
        <w:rPr>
          <w:rFonts w:ascii="Helvetica" w:eastAsia="Times New Roman" w:hAnsi="Helvetica" w:cs="Times New Roman"/>
          <w:color w:val="333333"/>
        </w:rPr>
        <w:t>approv</w:t>
      </w:r>
      <w:r w:rsidR="00E77FD6" w:rsidRPr="001120B2">
        <w:rPr>
          <w:rFonts w:ascii="Helvetica" w:eastAsia="Times New Roman" w:hAnsi="Helvetica" w:cs="Times New Roman"/>
          <w:color w:val="333333"/>
        </w:rPr>
        <w:t>ed</w:t>
      </w:r>
      <w:r w:rsidR="000B7E4C" w:rsidRPr="001120B2">
        <w:rPr>
          <w:rFonts w:ascii="Helvetica" w:eastAsia="Times New Roman" w:hAnsi="Helvetica" w:cs="Times New Roman"/>
          <w:color w:val="333333"/>
        </w:rPr>
        <w:t xml:space="preserve"> by the Vice President for Academic Affairs/Provost of the University. </w:t>
      </w:r>
    </w:p>
    <w:p w14:paraId="31D04597" w14:textId="77777777" w:rsidR="00DA6920" w:rsidRPr="001120B2" w:rsidRDefault="00DA6920" w:rsidP="000B7E4C">
      <w:pPr>
        <w:spacing w:line="480" w:lineRule="atLeast"/>
        <w:textAlignment w:val="baseline"/>
        <w:rPr>
          <w:rFonts w:ascii="Helvetica" w:eastAsia="Times New Roman" w:hAnsi="Helvetica" w:cs="Times New Roman"/>
          <w:color w:val="333333"/>
        </w:rPr>
      </w:pPr>
    </w:p>
    <w:p w14:paraId="41A5CE7A" w14:textId="003C2BF2" w:rsidR="000B7E4C" w:rsidRPr="001120B2" w:rsidRDefault="00DA6920" w:rsidP="000B7E4C">
      <w:pPr>
        <w:spacing w:line="480" w:lineRule="atLeast"/>
        <w:textAlignment w:val="baseline"/>
        <w:rPr>
          <w:rFonts w:ascii="Helvetica" w:eastAsia="Times New Roman" w:hAnsi="Helvetica" w:cs="Times New Roman"/>
          <w:color w:val="333333"/>
        </w:rPr>
      </w:pPr>
      <w:r w:rsidRPr="001120B2">
        <w:rPr>
          <w:rFonts w:ascii="Helvetica" w:eastAsia="Times New Roman" w:hAnsi="Helvetica" w:cs="Times New Roman"/>
          <w:color w:val="333333"/>
        </w:rPr>
        <w:t>Additionally, a</w:t>
      </w:r>
      <w:r w:rsidR="00231562" w:rsidRPr="001120B2">
        <w:rPr>
          <w:rFonts w:ascii="Helvetica" w:eastAsia="Times New Roman" w:hAnsi="Helvetica" w:cs="Times New Roman"/>
          <w:color w:val="333333"/>
        </w:rPr>
        <w:t>ll degrees held by persons recommended for teaching appointments must be from regionally accredited universities or the equivalent from international universit</w:t>
      </w:r>
      <w:r w:rsidR="00E77FD6" w:rsidRPr="001120B2">
        <w:rPr>
          <w:rFonts w:ascii="Helvetica" w:eastAsia="Times New Roman" w:hAnsi="Helvetica" w:cs="Times New Roman"/>
          <w:color w:val="333333"/>
        </w:rPr>
        <w:t>ies</w:t>
      </w:r>
      <w:r w:rsidR="00231562" w:rsidRPr="001120B2">
        <w:rPr>
          <w:rFonts w:ascii="Helvetica" w:eastAsia="Times New Roman" w:hAnsi="Helvetica" w:cs="Times New Roman"/>
          <w:color w:val="333333"/>
        </w:rPr>
        <w:t xml:space="preserve"> or institution</w:t>
      </w:r>
      <w:r w:rsidR="00E77FD6" w:rsidRPr="001120B2">
        <w:rPr>
          <w:rFonts w:ascii="Helvetica" w:eastAsia="Times New Roman" w:hAnsi="Helvetica" w:cs="Times New Roman"/>
          <w:color w:val="333333"/>
        </w:rPr>
        <w:t>s</w:t>
      </w:r>
      <w:r w:rsidR="00231562" w:rsidRPr="001120B2">
        <w:rPr>
          <w:rFonts w:ascii="Helvetica" w:eastAsia="Times New Roman" w:hAnsi="Helvetica" w:cs="Times New Roman"/>
          <w:color w:val="333333"/>
        </w:rPr>
        <w:t xml:space="preserve">. </w:t>
      </w:r>
      <w:r w:rsidR="00EE400D" w:rsidRPr="001120B2">
        <w:rPr>
          <w:rFonts w:ascii="Helvetica" w:eastAsia="Times New Roman" w:hAnsi="Helvetica" w:cs="Times New Roman"/>
          <w:color w:val="333333"/>
        </w:rPr>
        <w:t>The Office of the Provost</w:t>
      </w:r>
      <w:r w:rsidR="00231562" w:rsidRPr="001120B2">
        <w:rPr>
          <w:rFonts w:ascii="Helvetica" w:eastAsia="Times New Roman" w:hAnsi="Helvetica" w:cs="Times New Roman"/>
          <w:color w:val="333333"/>
        </w:rPr>
        <w:t xml:space="preserve"> will make the determination of equivalency of credentials for candidates who hold degrees from international universities or institutions. </w:t>
      </w:r>
    </w:p>
    <w:p w14:paraId="387BBBF2" w14:textId="5E4C5C13" w:rsidR="00231562" w:rsidRPr="001120B2" w:rsidRDefault="000B7E4C" w:rsidP="000B7E4C">
      <w:pPr>
        <w:spacing w:before="300" w:line="480" w:lineRule="atLeast"/>
        <w:textAlignment w:val="baseline"/>
        <w:rPr>
          <w:rFonts w:ascii="Helvetica" w:eastAsia="Times New Roman" w:hAnsi="Helvetica" w:cs="Times New Roman"/>
          <w:color w:val="333333"/>
        </w:rPr>
      </w:pPr>
      <w:r w:rsidRPr="001120B2">
        <w:rPr>
          <w:rFonts w:ascii="Helvetica" w:eastAsia="Times New Roman" w:hAnsi="Helvetica" w:cs="Times New Roman"/>
          <w:color w:val="333333"/>
        </w:rPr>
        <w:t xml:space="preserve">The </w:t>
      </w:r>
      <w:r w:rsidR="000E3401" w:rsidRPr="001120B2">
        <w:rPr>
          <w:rFonts w:ascii="Helvetica" w:eastAsia="Times New Roman" w:hAnsi="Helvetica" w:cs="Times New Roman"/>
          <w:color w:val="333333"/>
        </w:rPr>
        <w:t>University P</w:t>
      </w:r>
      <w:r w:rsidRPr="001120B2">
        <w:rPr>
          <w:rFonts w:ascii="Helvetica" w:eastAsia="Times New Roman" w:hAnsi="Helvetica" w:cs="Times New Roman"/>
          <w:color w:val="333333"/>
        </w:rPr>
        <w:t>resident shall be responsible for the initial appointment of faculty members and administrative employees of each institution, the salary of each, and all promotions and be authorized to make all reappointments of faculty members and administrative employees, except as otherwise specified by the Board of Regents.</w:t>
      </w:r>
    </w:p>
    <w:p w14:paraId="2658DDC1" w14:textId="77777777" w:rsidR="00231562" w:rsidRPr="001120B2" w:rsidRDefault="00231562" w:rsidP="00231562">
      <w:pPr>
        <w:spacing w:line="480" w:lineRule="auto"/>
        <w:textAlignment w:val="baseline"/>
        <w:rPr>
          <w:rFonts w:ascii="Helvetica" w:eastAsia="Times New Roman" w:hAnsi="Helvetica" w:cs="Times New Roman"/>
          <w:color w:val="333333"/>
        </w:rPr>
      </w:pPr>
    </w:p>
    <w:p w14:paraId="37C7B031" w14:textId="0BB500E7" w:rsidR="000B7E4C" w:rsidRPr="001120B2" w:rsidRDefault="000B7E4C" w:rsidP="000B7E4C">
      <w:pPr>
        <w:spacing w:line="480" w:lineRule="atLeast"/>
        <w:textAlignment w:val="baseline"/>
        <w:rPr>
          <w:rFonts w:ascii="Helvetica" w:eastAsia="Times New Roman" w:hAnsi="Helvetica" w:cs="Times New Roman"/>
          <w:color w:val="333333"/>
        </w:rPr>
      </w:pPr>
      <w:r w:rsidRPr="001120B2">
        <w:rPr>
          <w:rFonts w:ascii="Helvetica" w:eastAsia="Times New Roman" w:hAnsi="Helvetica" w:cs="Times New Roman"/>
          <w:b/>
          <w:bCs/>
          <w:color w:val="333333"/>
          <w:bdr w:val="none" w:sz="0" w:space="0" w:color="auto" w:frame="1"/>
        </w:rPr>
        <w:t xml:space="preserve">Comprehensive Standard </w:t>
      </w:r>
      <w:r w:rsidR="00231562" w:rsidRPr="001120B2">
        <w:rPr>
          <w:rFonts w:ascii="Helvetica" w:eastAsia="Times New Roman" w:hAnsi="Helvetica" w:cs="Times New Roman"/>
          <w:b/>
          <w:bCs/>
          <w:color w:val="333333"/>
          <w:bdr w:val="none" w:sz="0" w:space="0" w:color="auto" w:frame="1"/>
        </w:rPr>
        <w:t xml:space="preserve">6.2.a, </w:t>
      </w:r>
      <w:r w:rsidR="00231562" w:rsidRPr="001120B2">
        <w:rPr>
          <w:rFonts w:ascii="Helvetica" w:eastAsia="Times New Roman" w:hAnsi="Helvetica" w:cs="Times New Roman"/>
          <w:b/>
          <w:bCs/>
          <w:i/>
          <w:iCs/>
          <w:color w:val="333333"/>
          <w:bdr w:val="none" w:sz="0" w:space="0" w:color="auto" w:frame="1"/>
        </w:rPr>
        <w:t>Faculty Qualifications,</w:t>
      </w:r>
      <w:r w:rsidRPr="001120B2">
        <w:rPr>
          <w:rFonts w:ascii="Helvetica" w:eastAsia="Times New Roman" w:hAnsi="Helvetica" w:cs="Times New Roman"/>
          <w:b/>
          <w:bCs/>
          <w:color w:val="333333"/>
          <w:bdr w:val="none" w:sz="0" w:space="0" w:color="auto" w:frame="1"/>
        </w:rPr>
        <w:t xml:space="preserve"> of the </w:t>
      </w:r>
      <w:r w:rsidR="00231562" w:rsidRPr="001120B2">
        <w:rPr>
          <w:rFonts w:ascii="Helvetica" w:eastAsia="Times New Roman" w:hAnsi="Helvetica" w:cs="Times New Roman"/>
          <w:b/>
          <w:bCs/>
          <w:color w:val="333333"/>
          <w:bdr w:val="none" w:sz="0" w:space="0" w:color="auto" w:frame="1"/>
        </w:rPr>
        <w:t xml:space="preserve">SACSCOC </w:t>
      </w:r>
      <w:r w:rsidRPr="001120B2">
        <w:rPr>
          <w:rFonts w:ascii="Helvetica" w:eastAsia="Times New Roman" w:hAnsi="Helvetica" w:cs="Times New Roman"/>
          <w:b/>
          <w:bCs/>
          <w:color w:val="333333"/>
          <w:bdr w:val="none" w:sz="0" w:space="0" w:color="auto" w:frame="1"/>
        </w:rPr>
        <w:t>Principles of Accreditation reads as follows: </w:t>
      </w:r>
    </w:p>
    <w:p w14:paraId="750829DA" w14:textId="39F04D80" w:rsidR="003A46CC" w:rsidRPr="001120B2" w:rsidRDefault="001120B2">
      <w:pPr>
        <w:rPr>
          <w:rFonts w:ascii="Helvetica" w:eastAsia="Times New Roman" w:hAnsi="Helvetica" w:cs="Times New Roman"/>
          <w:color w:val="333333"/>
        </w:rPr>
      </w:pPr>
    </w:p>
    <w:p w14:paraId="6B8A3001" w14:textId="77777777" w:rsidR="00231562" w:rsidRPr="001120B2" w:rsidRDefault="00231562" w:rsidP="00DA6920">
      <w:pPr>
        <w:pStyle w:val="NormalWeb"/>
        <w:spacing w:line="480" w:lineRule="auto"/>
        <w:rPr>
          <w:rFonts w:ascii="Helvetica" w:hAnsi="Helvetica"/>
        </w:rPr>
      </w:pPr>
      <w:r w:rsidRPr="001120B2">
        <w:rPr>
          <w:rFonts w:ascii="Helvetica" w:hAnsi="Helvetica"/>
        </w:rPr>
        <w:t xml:space="preserve">Qualified, effective faculty members are essential to carry out the mission of the institution and to ensure the quality and integrity of its academic programs. The emphasis is on overall qualifications of a faculty member, rather than simply academic credentials. While academic credentials in most cases may well be the standard qualification for faculty members, other types of qualifications may prove to be appropriate. Examples could include appropriately related work experiences in the field, professional licensure and certifications related to the teaching assignment, honors and awards, continuing professional development, relevant peer-reviewed publications, </w:t>
      </w:r>
      <w:r w:rsidRPr="001120B2">
        <w:rPr>
          <w:rFonts w:ascii="Helvetica" w:hAnsi="Helvetica"/>
        </w:rPr>
        <w:lastRenderedPageBreak/>
        <w:t xml:space="preserve">and/or continuous documented excellence in teaching. These types of qualifications are especially important in professional, technical, and technology-dependent fields. </w:t>
      </w:r>
    </w:p>
    <w:p w14:paraId="276BCB33" w14:textId="036768D0" w:rsidR="00231562" w:rsidRPr="001120B2" w:rsidRDefault="00231562" w:rsidP="00DA6920">
      <w:pPr>
        <w:pStyle w:val="NormalWeb"/>
        <w:spacing w:line="480" w:lineRule="auto"/>
        <w:rPr>
          <w:rFonts w:ascii="Helvetica" w:hAnsi="Helvetica"/>
        </w:rPr>
      </w:pPr>
      <w:r w:rsidRPr="001120B2">
        <w:rPr>
          <w:rFonts w:ascii="Helvetica" w:hAnsi="Helvetica"/>
        </w:rPr>
        <w:t xml:space="preserve">It is the institution’s obligation to justify and document the qualifications of its faculty. Determining the acceptability of faculty qualifications requires judicious use of professional judgment, especially when persons do not hold degrees in the teaching discipline or are qualified based on criteria other than their academic credentials. Similarly, persons holding a degree at the same or lower level than the level at which the course is taught require additional qualifications and the application of professional judgment. Additional justification is needed for these cases as compared to cases where the academic credentials are a “perfect match” for the teaching assignments. Appropriate qualifications may also differ depending on whether a course is generally transferable to other institutions; qualifications for teaching nontransferable technical courses depend heavily on professional experience and appropriate certifications or work experience. </w:t>
      </w:r>
    </w:p>
    <w:p w14:paraId="6D5F363F" w14:textId="497CC518" w:rsidR="00231562" w:rsidRPr="001120B2" w:rsidRDefault="00231562" w:rsidP="00DA6920">
      <w:pPr>
        <w:pStyle w:val="NormalWeb"/>
        <w:spacing w:line="480" w:lineRule="auto"/>
        <w:rPr>
          <w:rFonts w:ascii="Helvetica" w:hAnsi="Helvetica"/>
        </w:rPr>
      </w:pPr>
      <w:r w:rsidRPr="001120B2">
        <w:rPr>
          <w:rFonts w:ascii="Helvetica" w:hAnsi="Helvetica"/>
        </w:rPr>
        <w:t>Judicious use of professional judgment should also be exercised by those asked to serve as external reviewers of faculty qualifications</w:t>
      </w:r>
      <w:r w:rsidR="001E371C" w:rsidRPr="001120B2">
        <w:rPr>
          <w:rFonts w:ascii="Helvetica" w:hAnsi="Helvetica"/>
        </w:rPr>
        <w:t>.</w:t>
      </w:r>
    </w:p>
    <w:p w14:paraId="52A1FA6A" w14:textId="483788BC" w:rsidR="001E371C" w:rsidRPr="001120B2" w:rsidRDefault="001E371C" w:rsidP="001E371C">
      <w:pPr>
        <w:pStyle w:val="NormalWeb"/>
        <w:spacing w:line="480" w:lineRule="auto"/>
        <w:jc w:val="both"/>
        <w:rPr>
          <w:rFonts w:ascii="Helvetica" w:hAnsi="Helvetica"/>
          <w:b/>
          <w:bCs/>
        </w:rPr>
      </w:pPr>
      <w:r w:rsidRPr="001120B2">
        <w:rPr>
          <w:rFonts w:ascii="Helvetica" w:hAnsi="Helvetica"/>
          <w:b/>
          <w:bCs/>
        </w:rPr>
        <w:t>SACSCOC Guidelines for Faculty Qualifications:</w:t>
      </w:r>
    </w:p>
    <w:p w14:paraId="0AACFB53" w14:textId="3C18987B" w:rsidR="001E371C" w:rsidRPr="001120B2" w:rsidRDefault="001E371C" w:rsidP="001E371C">
      <w:pPr>
        <w:spacing w:before="100" w:beforeAutospacing="1" w:after="100" w:afterAutospacing="1" w:line="480" w:lineRule="auto"/>
        <w:rPr>
          <w:rFonts w:ascii="Helvetica" w:eastAsia="Times New Roman" w:hAnsi="Helvetica" w:cs="Times New Roman"/>
        </w:rPr>
      </w:pPr>
      <w:r w:rsidRPr="001120B2">
        <w:rPr>
          <w:rFonts w:ascii="Helvetica" w:eastAsia="Times New Roman" w:hAnsi="Helvetica" w:cs="Times New Roman"/>
        </w:rPr>
        <w:t>Standard 6.2.a (</w:t>
      </w:r>
      <w:r w:rsidRPr="001120B2">
        <w:rPr>
          <w:rFonts w:ascii="Helvetica" w:eastAsia="Times New Roman" w:hAnsi="Helvetica" w:cs="Times New Roman"/>
          <w:i/>
          <w:iCs/>
        </w:rPr>
        <w:t>Faculty qualifications</w:t>
      </w:r>
      <w:r w:rsidRPr="001120B2">
        <w:rPr>
          <w:rFonts w:ascii="Helvetica" w:eastAsia="Times New Roman" w:hAnsi="Helvetica" w:cs="Times New Roman"/>
        </w:rPr>
        <w:t xml:space="preserve">) of the </w:t>
      </w:r>
      <w:r w:rsidRPr="001120B2">
        <w:rPr>
          <w:rFonts w:ascii="Helvetica" w:eastAsia="Times New Roman" w:hAnsi="Helvetica" w:cs="Times New Roman"/>
          <w:i/>
          <w:iCs/>
        </w:rPr>
        <w:t xml:space="preserve">Principles of Accreditation </w:t>
      </w:r>
      <w:r w:rsidRPr="001120B2">
        <w:rPr>
          <w:rFonts w:ascii="Helvetica" w:eastAsia="Times New Roman" w:hAnsi="Helvetica" w:cs="Times New Roman"/>
        </w:rPr>
        <w:t>reads as follows:</w:t>
      </w:r>
      <w:r w:rsidRPr="001120B2">
        <w:rPr>
          <w:rFonts w:ascii="Helvetica" w:eastAsia="Times New Roman" w:hAnsi="Helvetica" w:cs="Times New Roman"/>
        </w:rPr>
        <w:br/>
        <w:t xml:space="preserve">For each of its educational programs, the institution justifies and documents the qualifications of its faculty members. </w:t>
      </w:r>
    </w:p>
    <w:p w14:paraId="29325DA5" w14:textId="77777777" w:rsidR="001E371C" w:rsidRPr="001120B2" w:rsidRDefault="001E371C" w:rsidP="001E371C">
      <w:pPr>
        <w:spacing w:before="100" w:beforeAutospacing="1" w:after="100" w:afterAutospacing="1" w:line="480" w:lineRule="auto"/>
        <w:rPr>
          <w:rFonts w:ascii="Helvetica" w:eastAsia="Times New Roman" w:hAnsi="Helvetica" w:cs="Times New Roman"/>
          <w:sz w:val="36"/>
          <w:szCs w:val="36"/>
        </w:rPr>
      </w:pPr>
      <w:r w:rsidRPr="001120B2">
        <w:rPr>
          <w:rFonts w:ascii="Helvetica" w:eastAsia="Times New Roman" w:hAnsi="Helvetica" w:cs="Times New Roman"/>
        </w:rPr>
        <w:lastRenderedPageBreak/>
        <w:t xml:space="preserve">When an institution defines faculty qualifications using faculty credentials, institutions should use the following as credential guidelines: </w:t>
      </w:r>
    </w:p>
    <w:p w14:paraId="0C3F4927" w14:textId="77777777" w:rsidR="001E371C" w:rsidRPr="001120B2" w:rsidRDefault="001E371C" w:rsidP="001E371C">
      <w:pPr>
        <w:numPr>
          <w:ilvl w:val="0"/>
          <w:numId w:val="2"/>
        </w:numPr>
        <w:spacing w:before="100" w:beforeAutospacing="1" w:after="100" w:afterAutospacing="1" w:line="480" w:lineRule="auto"/>
        <w:rPr>
          <w:rFonts w:ascii="Helvetica" w:eastAsia="Times New Roman" w:hAnsi="Helvetica" w:cs="Times New Roman"/>
        </w:rPr>
      </w:pPr>
      <w:r w:rsidRPr="001120B2">
        <w:rPr>
          <w:rFonts w:ascii="Helvetica" w:eastAsia="Times New Roman" w:hAnsi="Helvetica" w:cs="Times New Roman"/>
        </w:rPr>
        <w:t xml:space="preserve">Faculty teaching general education courses at the undergraduate level: doctorate or master’s degree in the teaching discipline or master’s degree with a concentration in the teaching discipline (a minimum of 18 graduate semester hours in the teaching discipline). </w:t>
      </w:r>
    </w:p>
    <w:p w14:paraId="72E61835" w14:textId="77777777" w:rsidR="001E371C" w:rsidRPr="001120B2" w:rsidRDefault="001E371C" w:rsidP="001E371C">
      <w:pPr>
        <w:numPr>
          <w:ilvl w:val="0"/>
          <w:numId w:val="2"/>
        </w:numPr>
        <w:spacing w:before="100" w:beforeAutospacing="1" w:after="100" w:afterAutospacing="1" w:line="480" w:lineRule="auto"/>
        <w:rPr>
          <w:rFonts w:ascii="Helvetica" w:eastAsia="Times New Roman" w:hAnsi="Helvetica" w:cs="Times New Roman"/>
        </w:rPr>
      </w:pPr>
      <w:r w:rsidRPr="001120B2">
        <w:rPr>
          <w:rFonts w:ascii="Helvetica" w:eastAsia="Times New Roman" w:hAnsi="Helvetica" w:cs="Times New Roman"/>
        </w:rPr>
        <w:t xml:space="preserve">Faculty teaching associate degree courses designed for transfer to a baccalaureate degree: doctorate or master’s degree in the teaching discipline or master’s degree with a concentration in the teaching discipline (a minimum of 18 graduate semester hours in the teaching discipline). </w:t>
      </w:r>
    </w:p>
    <w:p w14:paraId="003BAE8E" w14:textId="77777777" w:rsidR="001E371C" w:rsidRPr="001120B2" w:rsidRDefault="001E371C" w:rsidP="001E371C">
      <w:pPr>
        <w:numPr>
          <w:ilvl w:val="0"/>
          <w:numId w:val="2"/>
        </w:numPr>
        <w:spacing w:before="100" w:beforeAutospacing="1" w:after="100" w:afterAutospacing="1" w:line="480" w:lineRule="auto"/>
        <w:rPr>
          <w:rFonts w:ascii="Helvetica" w:eastAsia="Times New Roman" w:hAnsi="Helvetica" w:cs="Times New Roman"/>
        </w:rPr>
      </w:pPr>
      <w:r w:rsidRPr="001120B2">
        <w:rPr>
          <w:rFonts w:ascii="Helvetica" w:eastAsia="Times New Roman" w:hAnsi="Helvetica" w:cs="Times New Roman"/>
        </w:rPr>
        <w:t xml:space="preserve">Faculty teaching associate degree courses not designed for transfer to the baccalaureate degree: bachelor’s degree in the teaching discipline, or associate’s degree and demonstrated competencies in the teaching discipline. </w:t>
      </w:r>
    </w:p>
    <w:p w14:paraId="0CA43676" w14:textId="77777777" w:rsidR="001E371C" w:rsidRPr="001120B2" w:rsidRDefault="001E371C" w:rsidP="001E371C">
      <w:pPr>
        <w:numPr>
          <w:ilvl w:val="0"/>
          <w:numId w:val="2"/>
        </w:numPr>
        <w:spacing w:before="100" w:beforeAutospacing="1" w:after="100" w:afterAutospacing="1" w:line="480" w:lineRule="auto"/>
        <w:rPr>
          <w:rFonts w:ascii="Helvetica" w:eastAsia="Times New Roman" w:hAnsi="Helvetica" w:cs="Times New Roman"/>
        </w:rPr>
      </w:pPr>
      <w:r w:rsidRPr="001120B2">
        <w:rPr>
          <w:rFonts w:ascii="Helvetica" w:eastAsia="Times New Roman" w:hAnsi="Helvetica" w:cs="Times New Roman"/>
        </w:rPr>
        <w:t xml:space="preserve">Faculty teaching baccalaureate courses: doctorate or master’s degree in the teaching discipline or master’s degree with a concentration in the teaching discipline (minimum of 18 graduate semester hours in the teaching discipline). </w:t>
      </w:r>
    </w:p>
    <w:p w14:paraId="12C9FB2D" w14:textId="77777777" w:rsidR="001E371C" w:rsidRPr="001120B2" w:rsidRDefault="001E371C" w:rsidP="001E371C">
      <w:pPr>
        <w:numPr>
          <w:ilvl w:val="0"/>
          <w:numId w:val="2"/>
        </w:numPr>
        <w:spacing w:before="100" w:beforeAutospacing="1" w:after="100" w:afterAutospacing="1" w:line="480" w:lineRule="auto"/>
        <w:rPr>
          <w:rFonts w:ascii="Helvetica" w:eastAsia="Times New Roman" w:hAnsi="Helvetica" w:cs="Times New Roman"/>
        </w:rPr>
      </w:pPr>
      <w:r w:rsidRPr="001120B2">
        <w:rPr>
          <w:rFonts w:ascii="Helvetica" w:eastAsia="Times New Roman" w:hAnsi="Helvetica" w:cs="Times New Roman"/>
        </w:rPr>
        <w:t xml:space="preserve">Faculty teaching graduate and post-baccalaureate course work: earned doctorate/terminal degree in the teaching discipline or a related discipline. </w:t>
      </w:r>
    </w:p>
    <w:p w14:paraId="69B5B8F0" w14:textId="77777777" w:rsidR="001E371C" w:rsidRPr="001120B2" w:rsidRDefault="001E371C" w:rsidP="001E371C">
      <w:pPr>
        <w:numPr>
          <w:ilvl w:val="0"/>
          <w:numId w:val="2"/>
        </w:numPr>
        <w:spacing w:before="100" w:beforeAutospacing="1" w:after="100" w:afterAutospacing="1" w:line="480" w:lineRule="auto"/>
        <w:rPr>
          <w:rFonts w:ascii="Helvetica" w:eastAsia="Times New Roman" w:hAnsi="Helvetica" w:cs="Times New Roman"/>
        </w:rPr>
      </w:pPr>
      <w:r w:rsidRPr="001120B2">
        <w:rPr>
          <w:rFonts w:ascii="Helvetica" w:eastAsia="Times New Roman" w:hAnsi="Helvetica" w:cs="Times New Roman"/>
        </w:rPr>
        <w:t xml:space="preserve">Graduate teaching assistants: master’s in the teaching discipline or 18 graduate semester hours in the teaching discipline, direct supervision by a faculty member experienced in the teaching discipline, regular in-service training, and planned </w:t>
      </w:r>
      <w:bookmarkStart w:id="0" w:name="_GoBack"/>
      <w:bookmarkEnd w:id="0"/>
      <w:r w:rsidRPr="001120B2">
        <w:rPr>
          <w:rFonts w:ascii="Helvetica" w:eastAsia="Times New Roman" w:hAnsi="Helvetica" w:cs="Times New Roman"/>
        </w:rPr>
        <w:t xml:space="preserve">and periodic evaluations. </w:t>
      </w:r>
    </w:p>
    <w:p w14:paraId="21A4CC4F" w14:textId="77777777" w:rsidR="001E371C" w:rsidRPr="001120B2" w:rsidRDefault="001E371C" w:rsidP="001E371C">
      <w:pPr>
        <w:ind w:left="720"/>
        <w:jc w:val="right"/>
        <w:rPr>
          <w:rFonts w:ascii="Helvetica" w:eastAsia="Times New Roman" w:hAnsi="Helvetica" w:cs="Times New Roman"/>
          <w:i/>
          <w:iCs/>
        </w:rPr>
      </w:pPr>
      <w:r w:rsidRPr="001120B2">
        <w:rPr>
          <w:rFonts w:ascii="Helvetica" w:eastAsia="Times New Roman" w:hAnsi="Helvetica" w:cs="Times New Roman"/>
          <w:i/>
          <w:iCs/>
        </w:rPr>
        <w:lastRenderedPageBreak/>
        <w:t xml:space="preserve">Approved: College Delegate Assembly, December 2006 </w:t>
      </w:r>
    </w:p>
    <w:p w14:paraId="7B84CAB4" w14:textId="3061591F" w:rsidR="001E371C" w:rsidRPr="001E371C" w:rsidRDefault="001E371C" w:rsidP="001E371C">
      <w:pPr>
        <w:ind w:left="720"/>
        <w:jc w:val="right"/>
        <w:rPr>
          <w:rFonts w:ascii="Helvetica" w:eastAsia="Times New Roman" w:hAnsi="Helvetica" w:cs="Times New Roman"/>
        </w:rPr>
      </w:pPr>
      <w:r w:rsidRPr="001120B2">
        <w:rPr>
          <w:rFonts w:ascii="Helvetica" w:eastAsia="Times New Roman" w:hAnsi="Helvetica" w:cs="Times New Roman"/>
          <w:i/>
          <w:iCs/>
        </w:rPr>
        <w:t>Updated for Revised Principles: April 2018</w:t>
      </w:r>
      <w:r w:rsidRPr="001E371C">
        <w:rPr>
          <w:rFonts w:ascii="Helvetica" w:eastAsia="Times New Roman" w:hAnsi="Helvetica" w:cs="Times New Roman"/>
          <w:i/>
          <w:iCs/>
        </w:rPr>
        <w:t xml:space="preserve"> </w:t>
      </w:r>
    </w:p>
    <w:p w14:paraId="15856DC4" w14:textId="77777777" w:rsidR="001E371C" w:rsidRPr="001E371C" w:rsidRDefault="001E371C" w:rsidP="001E371C">
      <w:pPr>
        <w:pStyle w:val="NormalWeb"/>
        <w:spacing w:line="480" w:lineRule="auto"/>
        <w:jc w:val="right"/>
        <w:rPr>
          <w:rFonts w:ascii="Helvetica" w:hAnsi="Helvetica"/>
          <w:b/>
          <w:bCs/>
        </w:rPr>
      </w:pPr>
    </w:p>
    <w:p w14:paraId="1E972526" w14:textId="78B0FD1A" w:rsidR="00231562" w:rsidRPr="001E371C" w:rsidRDefault="00231562" w:rsidP="00231562">
      <w:pPr>
        <w:pStyle w:val="NormalWeb"/>
        <w:rPr>
          <w:rFonts w:ascii="Helvetica" w:hAnsi="Helvetica"/>
        </w:rPr>
      </w:pPr>
    </w:p>
    <w:p w14:paraId="52D9F677" w14:textId="77777777" w:rsidR="00231562" w:rsidRPr="001E371C" w:rsidRDefault="00231562">
      <w:pPr>
        <w:rPr>
          <w:rFonts w:ascii="Helvetica" w:hAnsi="Helvetica"/>
        </w:rPr>
      </w:pPr>
    </w:p>
    <w:sectPr w:rsidR="00231562" w:rsidRPr="001E371C" w:rsidSect="006C58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56FEE"/>
    <w:multiLevelType w:val="multilevel"/>
    <w:tmpl w:val="9E8C00F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458B2AD4"/>
    <w:multiLevelType w:val="hybridMultilevel"/>
    <w:tmpl w:val="906C0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2E5E4E"/>
    <w:multiLevelType w:val="multilevel"/>
    <w:tmpl w:val="3722A4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lvl w:ilvl="0">
        <w:numFmt w:val="decimal"/>
        <w:lvlText w:val="%1."/>
        <w:lvlJc w:val="left"/>
      </w:lvl>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E4C"/>
    <w:rsid w:val="0009005E"/>
    <w:rsid w:val="000B7E4C"/>
    <w:rsid w:val="000E3401"/>
    <w:rsid w:val="001120B2"/>
    <w:rsid w:val="001E371C"/>
    <w:rsid w:val="00231562"/>
    <w:rsid w:val="003502F1"/>
    <w:rsid w:val="0040705C"/>
    <w:rsid w:val="004C167F"/>
    <w:rsid w:val="005173C4"/>
    <w:rsid w:val="005B0418"/>
    <w:rsid w:val="006C58CC"/>
    <w:rsid w:val="0079635D"/>
    <w:rsid w:val="009D20F2"/>
    <w:rsid w:val="00B502B9"/>
    <w:rsid w:val="00DA6920"/>
    <w:rsid w:val="00E77FD6"/>
    <w:rsid w:val="00EE400D"/>
    <w:rsid w:val="00F101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9234D"/>
  <w15:chartTrackingRefBased/>
  <w15:docId w15:val="{DD9E7CC9-C031-F840-9634-B11D0276F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0B7E4C"/>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7E4C"/>
    <w:rPr>
      <w:rFonts w:ascii="Times New Roman" w:eastAsia="Times New Roman" w:hAnsi="Times New Roman" w:cs="Times New Roman"/>
      <w:b/>
      <w:bCs/>
      <w:kern w:val="36"/>
      <w:sz w:val="48"/>
      <w:szCs w:val="48"/>
    </w:rPr>
  </w:style>
  <w:style w:type="paragraph" w:customStyle="1" w:styleId="sc-bodytext">
    <w:name w:val="sc-bodytext"/>
    <w:basedOn w:val="Normal"/>
    <w:rsid w:val="000B7E4C"/>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0B7E4C"/>
  </w:style>
  <w:style w:type="character" w:styleId="Hyperlink">
    <w:name w:val="Hyperlink"/>
    <w:basedOn w:val="DefaultParagraphFont"/>
    <w:uiPriority w:val="99"/>
    <w:unhideWhenUsed/>
    <w:rsid w:val="000B7E4C"/>
    <w:rPr>
      <w:color w:val="0000FF"/>
      <w:u w:val="single"/>
    </w:rPr>
  </w:style>
  <w:style w:type="character" w:styleId="Strong">
    <w:name w:val="Strong"/>
    <w:basedOn w:val="DefaultParagraphFont"/>
    <w:uiPriority w:val="22"/>
    <w:qFormat/>
    <w:rsid w:val="000B7E4C"/>
    <w:rPr>
      <w:b/>
      <w:bCs/>
    </w:rPr>
  </w:style>
  <w:style w:type="character" w:styleId="UnresolvedMention">
    <w:name w:val="Unresolved Mention"/>
    <w:basedOn w:val="DefaultParagraphFont"/>
    <w:uiPriority w:val="99"/>
    <w:semiHidden/>
    <w:unhideWhenUsed/>
    <w:rsid w:val="000B7E4C"/>
    <w:rPr>
      <w:color w:val="605E5C"/>
      <w:shd w:val="clear" w:color="auto" w:fill="E1DFDD"/>
    </w:rPr>
  </w:style>
  <w:style w:type="paragraph" w:styleId="NormalWeb">
    <w:name w:val="Normal (Web)"/>
    <w:basedOn w:val="Normal"/>
    <w:uiPriority w:val="99"/>
    <w:semiHidden/>
    <w:unhideWhenUsed/>
    <w:rsid w:val="00231562"/>
    <w:pPr>
      <w:spacing w:before="100" w:beforeAutospacing="1" w:after="100" w:afterAutospacing="1"/>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40705C"/>
    <w:rPr>
      <w:sz w:val="16"/>
      <w:szCs w:val="16"/>
    </w:rPr>
  </w:style>
  <w:style w:type="paragraph" w:styleId="CommentText">
    <w:name w:val="annotation text"/>
    <w:basedOn w:val="Normal"/>
    <w:link w:val="CommentTextChar"/>
    <w:uiPriority w:val="99"/>
    <w:semiHidden/>
    <w:unhideWhenUsed/>
    <w:rsid w:val="0040705C"/>
    <w:rPr>
      <w:sz w:val="20"/>
      <w:szCs w:val="20"/>
    </w:rPr>
  </w:style>
  <w:style w:type="character" w:customStyle="1" w:styleId="CommentTextChar">
    <w:name w:val="Comment Text Char"/>
    <w:basedOn w:val="DefaultParagraphFont"/>
    <w:link w:val="CommentText"/>
    <w:uiPriority w:val="99"/>
    <w:semiHidden/>
    <w:rsid w:val="0040705C"/>
    <w:rPr>
      <w:sz w:val="20"/>
      <w:szCs w:val="20"/>
    </w:rPr>
  </w:style>
  <w:style w:type="paragraph" w:styleId="CommentSubject">
    <w:name w:val="annotation subject"/>
    <w:basedOn w:val="CommentText"/>
    <w:next w:val="CommentText"/>
    <w:link w:val="CommentSubjectChar"/>
    <w:uiPriority w:val="99"/>
    <w:semiHidden/>
    <w:unhideWhenUsed/>
    <w:rsid w:val="0040705C"/>
    <w:rPr>
      <w:b/>
      <w:bCs/>
    </w:rPr>
  </w:style>
  <w:style w:type="character" w:customStyle="1" w:styleId="CommentSubjectChar">
    <w:name w:val="Comment Subject Char"/>
    <w:basedOn w:val="CommentTextChar"/>
    <w:link w:val="CommentSubject"/>
    <w:uiPriority w:val="99"/>
    <w:semiHidden/>
    <w:rsid w:val="0040705C"/>
    <w:rPr>
      <w:b/>
      <w:bCs/>
      <w:sz w:val="20"/>
      <w:szCs w:val="20"/>
    </w:rPr>
  </w:style>
  <w:style w:type="character" w:styleId="FollowedHyperlink">
    <w:name w:val="FollowedHyperlink"/>
    <w:basedOn w:val="DefaultParagraphFont"/>
    <w:uiPriority w:val="99"/>
    <w:semiHidden/>
    <w:unhideWhenUsed/>
    <w:rsid w:val="0009005E"/>
    <w:rPr>
      <w:color w:val="954F72" w:themeColor="followedHyperlink"/>
      <w:u w:val="single"/>
    </w:rPr>
  </w:style>
  <w:style w:type="paragraph" w:styleId="ListParagraph">
    <w:name w:val="List Paragraph"/>
    <w:basedOn w:val="Normal"/>
    <w:uiPriority w:val="34"/>
    <w:qFormat/>
    <w:rsid w:val="00F101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920194">
      <w:bodyDiv w:val="1"/>
      <w:marLeft w:val="0"/>
      <w:marRight w:val="0"/>
      <w:marTop w:val="0"/>
      <w:marBottom w:val="0"/>
      <w:divBdr>
        <w:top w:val="none" w:sz="0" w:space="0" w:color="auto"/>
        <w:left w:val="none" w:sz="0" w:space="0" w:color="auto"/>
        <w:bottom w:val="none" w:sz="0" w:space="0" w:color="auto"/>
        <w:right w:val="none" w:sz="0" w:space="0" w:color="auto"/>
      </w:divBdr>
    </w:div>
    <w:div w:id="1429933454">
      <w:bodyDiv w:val="1"/>
      <w:marLeft w:val="0"/>
      <w:marRight w:val="0"/>
      <w:marTop w:val="0"/>
      <w:marBottom w:val="0"/>
      <w:divBdr>
        <w:top w:val="none" w:sz="0" w:space="0" w:color="auto"/>
        <w:left w:val="none" w:sz="0" w:space="0" w:color="auto"/>
        <w:bottom w:val="none" w:sz="0" w:space="0" w:color="auto"/>
        <w:right w:val="none" w:sz="0" w:space="0" w:color="auto"/>
      </w:divBdr>
      <w:divsChild>
        <w:div w:id="458301111">
          <w:marLeft w:val="0"/>
          <w:marRight w:val="0"/>
          <w:marTop w:val="0"/>
          <w:marBottom w:val="0"/>
          <w:divBdr>
            <w:top w:val="none" w:sz="0" w:space="0" w:color="auto"/>
            <w:left w:val="none" w:sz="0" w:space="0" w:color="auto"/>
            <w:bottom w:val="none" w:sz="0" w:space="0" w:color="auto"/>
            <w:right w:val="none" w:sz="0" w:space="0" w:color="auto"/>
          </w:divBdr>
          <w:divsChild>
            <w:div w:id="1557621021">
              <w:marLeft w:val="0"/>
              <w:marRight w:val="0"/>
              <w:marTop w:val="0"/>
              <w:marBottom w:val="0"/>
              <w:divBdr>
                <w:top w:val="none" w:sz="0" w:space="0" w:color="auto"/>
                <w:left w:val="none" w:sz="0" w:space="0" w:color="auto"/>
                <w:bottom w:val="none" w:sz="0" w:space="0" w:color="auto"/>
                <w:right w:val="none" w:sz="0" w:space="0" w:color="auto"/>
              </w:divBdr>
              <w:divsChild>
                <w:div w:id="47306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227942">
      <w:bodyDiv w:val="1"/>
      <w:marLeft w:val="0"/>
      <w:marRight w:val="0"/>
      <w:marTop w:val="0"/>
      <w:marBottom w:val="0"/>
      <w:divBdr>
        <w:top w:val="none" w:sz="0" w:space="0" w:color="auto"/>
        <w:left w:val="none" w:sz="0" w:space="0" w:color="auto"/>
        <w:bottom w:val="none" w:sz="0" w:space="0" w:color="auto"/>
        <w:right w:val="none" w:sz="0" w:space="0" w:color="auto"/>
      </w:divBdr>
      <w:divsChild>
        <w:div w:id="534392114">
          <w:marLeft w:val="0"/>
          <w:marRight w:val="0"/>
          <w:marTop w:val="0"/>
          <w:marBottom w:val="0"/>
          <w:divBdr>
            <w:top w:val="none" w:sz="0" w:space="0" w:color="auto"/>
            <w:left w:val="none" w:sz="0" w:space="0" w:color="auto"/>
            <w:bottom w:val="none" w:sz="0" w:space="0" w:color="auto"/>
            <w:right w:val="none" w:sz="0" w:space="0" w:color="auto"/>
          </w:divBdr>
          <w:divsChild>
            <w:div w:id="1968194028">
              <w:marLeft w:val="0"/>
              <w:marRight w:val="0"/>
              <w:marTop w:val="0"/>
              <w:marBottom w:val="0"/>
              <w:divBdr>
                <w:top w:val="none" w:sz="0" w:space="0" w:color="auto"/>
                <w:left w:val="none" w:sz="0" w:space="0" w:color="auto"/>
                <w:bottom w:val="none" w:sz="0" w:space="0" w:color="auto"/>
                <w:right w:val="none" w:sz="0" w:space="0" w:color="auto"/>
              </w:divBdr>
              <w:divsChild>
                <w:div w:id="33334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692479">
      <w:bodyDiv w:val="1"/>
      <w:marLeft w:val="0"/>
      <w:marRight w:val="0"/>
      <w:marTop w:val="0"/>
      <w:marBottom w:val="0"/>
      <w:divBdr>
        <w:top w:val="none" w:sz="0" w:space="0" w:color="auto"/>
        <w:left w:val="none" w:sz="0" w:space="0" w:color="auto"/>
        <w:bottom w:val="none" w:sz="0" w:space="0" w:color="auto"/>
        <w:right w:val="none" w:sz="0" w:space="0" w:color="auto"/>
      </w:divBdr>
      <w:divsChild>
        <w:div w:id="757022550">
          <w:marLeft w:val="0"/>
          <w:marRight w:val="0"/>
          <w:marTop w:val="0"/>
          <w:marBottom w:val="0"/>
          <w:divBdr>
            <w:top w:val="none" w:sz="0" w:space="0" w:color="auto"/>
            <w:left w:val="none" w:sz="0" w:space="0" w:color="auto"/>
            <w:bottom w:val="none" w:sz="0" w:space="0" w:color="auto"/>
            <w:right w:val="none" w:sz="0" w:space="0" w:color="auto"/>
          </w:divBdr>
          <w:divsChild>
            <w:div w:id="528840900">
              <w:marLeft w:val="0"/>
              <w:marRight w:val="0"/>
              <w:marTop w:val="0"/>
              <w:marBottom w:val="0"/>
              <w:divBdr>
                <w:top w:val="none" w:sz="0" w:space="0" w:color="auto"/>
                <w:left w:val="none" w:sz="0" w:space="0" w:color="auto"/>
                <w:bottom w:val="none" w:sz="0" w:space="0" w:color="auto"/>
                <w:right w:val="none" w:sz="0" w:space="0" w:color="auto"/>
              </w:divBdr>
              <w:divsChild>
                <w:div w:id="5636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acscoc.org/app/uploads/2019/07/faculty-credentials.pdf" TargetMode="External"/><Relationship Id="rId5" Type="http://schemas.openxmlformats.org/officeDocument/2006/relationships/hyperlink" Target="http://www.usg.edu/policymanual/section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970</Words>
  <Characters>5532</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Cara Smith</dc:creator>
  <cp:keywords/>
  <dc:description/>
  <cp:lastModifiedBy>Costas Spirou</cp:lastModifiedBy>
  <cp:revision>2</cp:revision>
  <dcterms:created xsi:type="dcterms:W3CDTF">2021-09-15T12:16:00Z</dcterms:created>
  <dcterms:modified xsi:type="dcterms:W3CDTF">2021-09-15T12:16:00Z</dcterms:modified>
</cp:coreProperties>
</file>