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D619" w14:textId="77777777" w:rsidR="00906986" w:rsidRPr="00906986" w:rsidRDefault="00000000" w:rsidP="00906986">
      <w:pPr>
        <w:shd w:val="clear" w:color="auto" w:fill="FFFFFF"/>
        <w:spacing w:beforeAutospacing="1" w:after="0" w:afterAutospacing="1" w:line="210" w:lineRule="atLeast"/>
        <w:textAlignment w:val="baseline"/>
        <w:rPr>
          <w:rFonts w:ascii="Helvetica" w:eastAsia="Times New Roman" w:hAnsi="Helvetica" w:cs="Helvetica"/>
          <w:vanish/>
          <w:color w:val="333333"/>
          <w:sz w:val="21"/>
          <w:szCs w:val="21"/>
        </w:rPr>
      </w:pPr>
      <w:r>
        <w:rPr>
          <w:vanish/>
        </w:rPr>
        <w:fldChar w:fldCharType="begin"/>
      </w:r>
      <w:r>
        <w:rPr>
          <w:vanish/>
        </w:rPr>
        <w:instrText>HYPERLINK "http://gcsu.smartcatalogiq.com/en/Policy-Manual/Policy-Manual"</w:instrText>
      </w:r>
      <w:r>
        <w:rPr>
          <w:vanish/>
        </w:rPr>
      </w:r>
      <w:r>
        <w:rPr>
          <w:vanish/>
        </w:rPr>
        <w:fldChar w:fldCharType="separate"/>
      </w:r>
      <w:r w:rsidR="00906986" w:rsidRPr="00906986">
        <w:rPr>
          <w:rFonts w:ascii="inherit" w:eastAsia="Times New Roman" w:hAnsi="inherit" w:cs="Helvetica"/>
          <w:vanish/>
          <w:color w:val="428BCA"/>
          <w:sz w:val="21"/>
          <w:szCs w:val="21"/>
          <w:u w:val="single"/>
          <w:bdr w:val="none" w:sz="0" w:space="0" w:color="auto" w:frame="1"/>
        </w:rPr>
        <w:t>Policy Manual</w:t>
      </w:r>
      <w:r>
        <w:rPr>
          <w:rFonts w:ascii="inherit" w:eastAsia="Times New Roman" w:hAnsi="inherit" w:cs="Helvetica"/>
          <w:vanish/>
          <w:color w:val="428BCA"/>
          <w:sz w:val="21"/>
          <w:szCs w:val="21"/>
          <w:u w:val="single"/>
          <w:bdr w:val="none" w:sz="0" w:space="0" w:color="auto" w:frame="1"/>
        </w:rPr>
        <w:fldChar w:fldCharType="end"/>
      </w:r>
      <w:r w:rsidR="00906986" w:rsidRPr="00906986">
        <w:rPr>
          <w:rFonts w:ascii="Helvetica" w:eastAsia="Times New Roman" w:hAnsi="Helvetica" w:cs="Helvetica"/>
          <w:vanish/>
          <w:color w:val="333333"/>
          <w:sz w:val="21"/>
          <w:szCs w:val="21"/>
        </w:rPr>
        <w:t>  /  </w:t>
      </w:r>
      <w:hyperlink r:id="rId7" w:history="1">
        <w:r w:rsidR="00906986" w:rsidRPr="00906986">
          <w:rPr>
            <w:rFonts w:ascii="inherit" w:eastAsia="Times New Roman" w:hAnsi="inherit" w:cs="Helvetica"/>
            <w:vanish/>
            <w:color w:val="428BCA"/>
            <w:sz w:val="21"/>
            <w:szCs w:val="21"/>
            <w:u w:val="single"/>
            <w:bdr w:val="none" w:sz="0" w:space="0" w:color="auto" w:frame="1"/>
          </w:rPr>
          <w:t>Academic Affairs</w:t>
        </w:r>
      </w:hyperlink>
      <w:r w:rsidR="00906986" w:rsidRPr="00906986">
        <w:rPr>
          <w:rFonts w:ascii="Helvetica" w:eastAsia="Times New Roman" w:hAnsi="Helvetica" w:cs="Helvetica"/>
          <w:vanish/>
          <w:color w:val="333333"/>
          <w:sz w:val="21"/>
          <w:szCs w:val="21"/>
        </w:rPr>
        <w:t>  /  </w:t>
      </w:r>
      <w:hyperlink r:id="rId8" w:history="1">
        <w:r w:rsidR="00906986" w:rsidRPr="00906986">
          <w:rPr>
            <w:rFonts w:ascii="inherit" w:eastAsia="Times New Roman" w:hAnsi="inherit" w:cs="Helvetica"/>
            <w:vanish/>
            <w:color w:val="428BCA"/>
            <w:sz w:val="21"/>
            <w:szCs w:val="21"/>
            <w:u w:val="single"/>
            <w:bdr w:val="none" w:sz="0" w:space="0" w:color="auto" w:frame="1"/>
          </w:rPr>
          <w:t>Governance</w:t>
        </w:r>
      </w:hyperlink>
      <w:r w:rsidR="00906986" w:rsidRPr="00906986">
        <w:rPr>
          <w:rFonts w:ascii="Helvetica" w:eastAsia="Times New Roman" w:hAnsi="Helvetica" w:cs="Helvetica"/>
          <w:vanish/>
          <w:color w:val="333333"/>
          <w:sz w:val="21"/>
          <w:szCs w:val="21"/>
        </w:rPr>
        <w:t>  /  Development Review Revision and Archiving of University Policy</w:t>
      </w:r>
    </w:p>
    <w:p w14:paraId="607641F1" w14:textId="77777777" w:rsidR="00906986" w:rsidRPr="00906986" w:rsidRDefault="00906986" w:rsidP="00906986">
      <w:pPr>
        <w:shd w:val="clear" w:color="auto" w:fill="FFFFFF"/>
        <w:spacing w:after="0" w:line="240" w:lineRule="auto"/>
        <w:textAlignment w:val="baseline"/>
        <w:rPr>
          <w:rFonts w:ascii="Helvetica" w:eastAsia="Times New Roman" w:hAnsi="Helvetica" w:cs="Helvetica"/>
          <w:color w:val="000000"/>
          <w:sz w:val="24"/>
          <w:szCs w:val="24"/>
        </w:rPr>
      </w:pPr>
    </w:p>
    <w:p w14:paraId="33CC919E" w14:textId="7BD0BF38" w:rsidR="00F669A4" w:rsidRDefault="0051206E" w:rsidP="00C35ED1">
      <w:pPr>
        <w:shd w:val="clear" w:color="auto" w:fill="FFFFFF"/>
        <w:spacing w:after="0" w:line="240" w:lineRule="auto"/>
        <w:textAlignment w:val="baseline"/>
        <w:rPr>
          <w:rFonts w:eastAsia="Times New Roman" w:cs="Helvetica"/>
          <w:b/>
          <w:bCs/>
          <w:color w:val="333333"/>
          <w:sz w:val="27"/>
          <w:szCs w:val="27"/>
          <w:bdr w:val="none" w:sz="0" w:space="0" w:color="auto" w:frame="1"/>
        </w:rPr>
      </w:pPr>
      <w:r>
        <w:rPr>
          <w:rFonts w:eastAsia="Times New Roman" w:cs="Helvetica"/>
          <w:b/>
          <w:bCs/>
          <w:color w:val="333333"/>
          <w:sz w:val="27"/>
          <w:szCs w:val="27"/>
          <w:bdr w:val="none" w:sz="0" w:space="0" w:color="auto" w:frame="1"/>
        </w:rPr>
        <w:t>Policy Name</w:t>
      </w:r>
      <w:r w:rsidR="00257808">
        <w:rPr>
          <w:rFonts w:eastAsia="Times New Roman" w:cs="Helvetica"/>
          <w:b/>
          <w:bCs/>
          <w:color w:val="333333"/>
          <w:sz w:val="27"/>
          <w:szCs w:val="27"/>
          <w:bdr w:val="none" w:sz="0" w:space="0" w:color="auto" w:frame="1"/>
        </w:rPr>
        <w:t>:</w:t>
      </w:r>
      <w:r w:rsidR="00B55D7A">
        <w:rPr>
          <w:rFonts w:eastAsia="Times New Roman" w:cs="Helvetica"/>
          <w:b/>
          <w:bCs/>
          <w:color w:val="333333"/>
          <w:sz w:val="27"/>
          <w:szCs w:val="27"/>
          <w:bdr w:val="none" w:sz="0" w:space="0" w:color="auto" w:frame="1"/>
        </w:rPr>
        <w:t xml:space="preserve"> </w:t>
      </w:r>
      <w:r w:rsidR="00E12513" w:rsidRPr="00E12513">
        <w:rPr>
          <w:rFonts w:eastAsia="Times New Roman" w:cs="Helvetica"/>
          <w:color w:val="333333"/>
          <w:sz w:val="27"/>
          <w:szCs w:val="27"/>
          <w:bdr w:val="none" w:sz="0" w:space="0" w:color="auto" w:frame="1"/>
        </w:rPr>
        <w:t xml:space="preserve">Faculty Review System and Annual Evaluation SRIS policy </w:t>
      </w:r>
      <w:r w:rsidR="00E12513">
        <w:rPr>
          <w:rFonts w:eastAsia="Times New Roman" w:cs="Helvetica"/>
          <w:color w:val="333333"/>
          <w:sz w:val="27"/>
          <w:szCs w:val="27"/>
          <w:bdr w:val="none" w:sz="0" w:space="0" w:color="auto" w:frame="1"/>
        </w:rPr>
        <w:t>R</w:t>
      </w:r>
      <w:r w:rsidR="00E12513" w:rsidRPr="00E12513">
        <w:rPr>
          <w:rFonts w:eastAsia="Times New Roman" w:cs="Helvetica"/>
          <w:color w:val="333333"/>
          <w:sz w:val="27"/>
          <w:szCs w:val="27"/>
          <w:bdr w:val="none" w:sz="0" w:space="0" w:color="auto" w:frame="1"/>
        </w:rPr>
        <w:t>evisions</w:t>
      </w:r>
    </w:p>
    <w:p w14:paraId="49FB36C9" w14:textId="77777777" w:rsidR="0051206E" w:rsidRPr="00257808" w:rsidRDefault="0051206E" w:rsidP="00257808">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4571956F" w14:textId="5B0EBF21"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Policy Statement:</w:t>
      </w:r>
      <w:r w:rsidR="00B55D7A">
        <w:rPr>
          <w:rFonts w:eastAsia="Times New Roman" w:cs="Helvetica"/>
          <w:b/>
          <w:bCs/>
          <w:color w:val="333333"/>
          <w:sz w:val="27"/>
          <w:szCs w:val="27"/>
          <w:bdr w:val="none" w:sz="0" w:space="0" w:color="auto" w:frame="1"/>
        </w:rPr>
        <w:t xml:space="preserve"> </w:t>
      </w:r>
    </w:p>
    <w:p w14:paraId="2B7A2122" w14:textId="69A2DCD9" w:rsidR="00A475C3" w:rsidRDefault="00A475C3" w:rsidP="0060069D">
      <w:pPr>
        <w:shd w:val="clear" w:color="auto" w:fill="FFFFFF"/>
        <w:spacing w:after="0" w:line="480" w:lineRule="atLeast"/>
        <w:textAlignment w:val="baseline"/>
        <w:rPr>
          <w:rFonts w:eastAsia="Times New Roman" w:cstheme="minorHAnsi"/>
          <w:color w:val="000000"/>
          <w:sz w:val="27"/>
          <w:szCs w:val="27"/>
          <w:bdr w:val="none" w:sz="0" w:space="0" w:color="auto" w:frame="1"/>
        </w:rPr>
      </w:pPr>
      <w:r>
        <w:rPr>
          <w:rFonts w:eastAsia="Times New Roman" w:cstheme="minorHAnsi"/>
          <w:color w:val="000000"/>
          <w:sz w:val="27"/>
          <w:szCs w:val="27"/>
          <w:bdr w:val="none" w:sz="0" w:space="0" w:color="auto" w:frame="1"/>
        </w:rPr>
        <w:t xml:space="preserve">This policy language will replace existing language in two sections of the current Policy Manual: the </w:t>
      </w:r>
      <w:hyperlink r:id="rId9" w:history="1">
        <w:r w:rsidRPr="00A475C3">
          <w:rPr>
            <w:rStyle w:val="Hyperlink"/>
            <w:rFonts w:eastAsia="Times New Roman" w:cstheme="minorHAnsi"/>
            <w:sz w:val="27"/>
            <w:szCs w:val="27"/>
            <w:bdr w:val="none" w:sz="0" w:space="0" w:color="auto" w:frame="1"/>
          </w:rPr>
          <w:t>Faculty Review System</w:t>
        </w:r>
      </w:hyperlink>
      <w:r>
        <w:rPr>
          <w:rFonts w:eastAsia="Times New Roman" w:cstheme="minorHAnsi"/>
          <w:color w:val="000000"/>
          <w:sz w:val="27"/>
          <w:szCs w:val="27"/>
          <w:bdr w:val="none" w:sz="0" w:space="0" w:color="auto" w:frame="1"/>
        </w:rPr>
        <w:t xml:space="preserve"> and the </w:t>
      </w:r>
      <w:hyperlink r:id="rId10" w:history="1">
        <w:r w:rsidRPr="00A475C3">
          <w:rPr>
            <w:rStyle w:val="Hyperlink"/>
            <w:rFonts w:eastAsia="Times New Roman" w:cstheme="minorHAnsi"/>
            <w:sz w:val="27"/>
            <w:szCs w:val="27"/>
            <w:bdr w:val="none" w:sz="0" w:space="0" w:color="auto" w:frame="1"/>
          </w:rPr>
          <w:t>Annual Evaluation</w:t>
        </w:r>
      </w:hyperlink>
      <w:r>
        <w:rPr>
          <w:rFonts w:eastAsia="Times New Roman" w:cstheme="minorHAnsi"/>
          <w:color w:val="000000"/>
          <w:sz w:val="27"/>
          <w:szCs w:val="27"/>
          <w:bdr w:val="none" w:sz="0" w:space="0" w:color="auto" w:frame="1"/>
        </w:rPr>
        <w:t xml:space="preserve"> sections.</w:t>
      </w:r>
    </w:p>
    <w:p w14:paraId="58ADE4B9" w14:textId="77777777" w:rsidR="00A475C3" w:rsidRDefault="00A475C3" w:rsidP="0060069D">
      <w:pPr>
        <w:shd w:val="clear" w:color="auto" w:fill="FFFFFF"/>
        <w:spacing w:after="0" w:line="480" w:lineRule="atLeast"/>
        <w:textAlignment w:val="baseline"/>
        <w:rPr>
          <w:rFonts w:eastAsia="Times New Roman" w:cstheme="minorHAnsi"/>
          <w:color w:val="000000"/>
          <w:sz w:val="27"/>
          <w:szCs w:val="27"/>
          <w:bdr w:val="none" w:sz="0" w:space="0" w:color="auto" w:frame="1"/>
        </w:rPr>
      </w:pPr>
    </w:p>
    <w:p w14:paraId="76DCF1C4" w14:textId="41AFE085" w:rsidR="0060069D" w:rsidRPr="0060069D" w:rsidRDefault="00A475C3" w:rsidP="0060069D">
      <w:pPr>
        <w:shd w:val="clear" w:color="auto" w:fill="FFFFFF"/>
        <w:spacing w:after="0" w:line="480" w:lineRule="atLeast"/>
        <w:textAlignment w:val="baseline"/>
        <w:rPr>
          <w:rFonts w:eastAsia="Times New Roman" w:cstheme="minorHAnsi"/>
          <w:color w:val="333333"/>
          <w:sz w:val="27"/>
          <w:szCs w:val="27"/>
        </w:rPr>
      </w:pPr>
      <w:r w:rsidRPr="004662B8">
        <w:rPr>
          <w:rFonts w:eastAsia="Times New Roman" w:cstheme="minorHAnsi"/>
          <w:b/>
          <w:bCs/>
          <w:color w:val="000000"/>
          <w:sz w:val="27"/>
          <w:szCs w:val="27"/>
          <w:bdr w:val="none" w:sz="0" w:space="0" w:color="auto" w:frame="1"/>
        </w:rPr>
        <w:t xml:space="preserve">From the Faculty Review </w:t>
      </w:r>
      <w:r w:rsidR="00D15AF2">
        <w:rPr>
          <w:rFonts w:eastAsia="Times New Roman" w:cstheme="minorHAnsi"/>
          <w:b/>
          <w:bCs/>
          <w:color w:val="000000"/>
          <w:sz w:val="27"/>
          <w:szCs w:val="27"/>
          <w:bdr w:val="none" w:sz="0" w:space="0" w:color="auto" w:frame="1"/>
        </w:rPr>
        <w:t>S</w:t>
      </w:r>
      <w:r w:rsidRPr="004662B8">
        <w:rPr>
          <w:rFonts w:eastAsia="Times New Roman" w:cstheme="minorHAnsi"/>
          <w:b/>
          <w:bCs/>
          <w:color w:val="000000"/>
          <w:sz w:val="27"/>
          <w:szCs w:val="27"/>
          <w:bdr w:val="none" w:sz="0" w:space="0" w:color="auto" w:frame="1"/>
        </w:rPr>
        <w:t>ystem policy:</w:t>
      </w:r>
      <w:r>
        <w:rPr>
          <w:rFonts w:eastAsia="Times New Roman" w:cstheme="minorHAnsi"/>
          <w:color w:val="000000"/>
          <w:sz w:val="27"/>
          <w:szCs w:val="27"/>
          <w:bdr w:val="none" w:sz="0" w:space="0" w:color="auto" w:frame="1"/>
        </w:rPr>
        <w:t xml:space="preserve"> </w:t>
      </w:r>
      <w:r w:rsidR="0060069D" w:rsidRPr="0060069D">
        <w:rPr>
          <w:rFonts w:eastAsia="Times New Roman" w:cstheme="minorHAnsi"/>
          <w:color w:val="000000"/>
          <w:sz w:val="27"/>
          <w:szCs w:val="27"/>
          <w:bdr w:val="none" w:sz="0" w:space="0" w:color="auto" w:frame="1"/>
        </w:rPr>
        <w:t>GC</w:t>
      </w:r>
      <w:r>
        <w:rPr>
          <w:rFonts w:eastAsia="Times New Roman" w:cstheme="minorHAnsi"/>
          <w:color w:val="000000"/>
          <w:sz w:val="27"/>
          <w:szCs w:val="27"/>
          <w:bdr w:val="none" w:sz="0" w:space="0" w:color="auto" w:frame="1"/>
        </w:rPr>
        <w:t>SU</w:t>
      </w:r>
      <w:r w:rsidR="0060069D" w:rsidRPr="0060069D">
        <w:rPr>
          <w:rFonts w:eastAsia="Times New Roman" w:cstheme="minorHAnsi"/>
          <w:color w:val="000000"/>
          <w:sz w:val="27"/>
          <w:szCs w:val="27"/>
          <w:bdr w:val="none" w:sz="0" w:space="0" w:color="auto" w:frame="1"/>
        </w:rPr>
        <w:t xml:space="preserve"> places the most emphasis on excellent teaching in its evaluation of faculty members. Consequently, every GC</w:t>
      </w:r>
      <w:r>
        <w:rPr>
          <w:rFonts w:eastAsia="Times New Roman" w:cstheme="minorHAnsi"/>
          <w:color w:val="000000"/>
          <w:sz w:val="27"/>
          <w:szCs w:val="27"/>
          <w:bdr w:val="none" w:sz="0" w:space="0" w:color="auto" w:frame="1"/>
        </w:rPr>
        <w:t>SU</w:t>
      </w:r>
      <w:r w:rsidR="0060069D" w:rsidRPr="0060069D">
        <w:rPr>
          <w:rFonts w:eastAsia="Times New Roman" w:cstheme="minorHAnsi"/>
          <w:color w:val="000000"/>
          <w:sz w:val="27"/>
          <w:szCs w:val="27"/>
          <w:bdr w:val="none" w:sz="0" w:space="0" w:color="auto" w:frame="1"/>
        </w:rPr>
        <w:t xml:space="preserve"> instructor is required to administer the Student Rating of Instruction Survey (SRIS) </w:t>
      </w:r>
      <w:r w:rsidR="0060069D" w:rsidRPr="00A475C3">
        <w:rPr>
          <w:rFonts w:eastAsia="Times New Roman" w:cstheme="minorHAnsi"/>
          <w:color w:val="000000"/>
          <w:sz w:val="27"/>
          <w:szCs w:val="27"/>
          <w:highlight w:val="yellow"/>
          <w:bdr w:val="none" w:sz="0" w:space="0" w:color="auto" w:frame="1"/>
        </w:rPr>
        <w:t>in all courses</w:t>
      </w:r>
      <w:r w:rsidR="0060069D" w:rsidRPr="0060069D">
        <w:rPr>
          <w:rFonts w:eastAsia="Times New Roman" w:cstheme="minorHAnsi"/>
          <w:color w:val="000000"/>
          <w:sz w:val="27"/>
          <w:szCs w:val="27"/>
          <w:bdr w:val="none" w:sz="0" w:space="0" w:color="auto" w:frame="1"/>
        </w:rPr>
        <w:t xml:space="preserve"> during the fall and spring semesters. In this way, instructors obtain summative feedback from students. GC</w:t>
      </w:r>
      <w:r>
        <w:rPr>
          <w:rFonts w:eastAsia="Times New Roman" w:cstheme="minorHAnsi"/>
          <w:color w:val="000000"/>
          <w:sz w:val="27"/>
          <w:szCs w:val="27"/>
          <w:bdr w:val="none" w:sz="0" w:space="0" w:color="auto" w:frame="1"/>
        </w:rPr>
        <w:t>SU</w:t>
      </w:r>
      <w:r w:rsidR="0060069D" w:rsidRPr="0060069D">
        <w:rPr>
          <w:rFonts w:eastAsia="Times New Roman" w:cstheme="minorHAnsi"/>
          <w:color w:val="000000"/>
          <w:sz w:val="27"/>
          <w:szCs w:val="27"/>
          <w:bdr w:val="none" w:sz="0" w:space="0" w:color="auto" w:frame="1"/>
        </w:rPr>
        <w:t xml:space="preserve"> utilizes a system of faculty evaluations by students, with the improvement of teaching effectiveness and student learning as the </w:t>
      </w:r>
      <w:proofErr w:type="gramStart"/>
      <w:r w:rsidR="0060069D" w:rsidRPr="0060069D">
        <w:rPr>
          <w:rFonts w:eastAsia="Times New Roman" w:cstheme="minorHAnsi"/>
          <w:color w:val="000000"/>
          <w:sz w:val="27"/>
          <w:szCs w:val="27"/>
          <w:bdr w:val="none" w:sz="0" w:space="0" w:color="auto" w:frame="1"/>
        </w:rPr>
        <w:t>main focus</w:t>
      </w:r>
      <w:proofErr w:type="gramEnd"/>
      <w:r w:rsidR="0060069D" w:rsidRPr="0060069D">
        <w:rPr>
          <w:rFonts w:eastAsia="Times New Roman" w:cstheme="minorHAnsi"/>
          <w:color w:val="000000"/>
          <w:sz w:val="27"/>
          <w:szCs w:val="27"/>
          <w:bdr w:val="none" w:sz="0" w:space="0" w:color="auto" w:frame="1"/>
        </w:rPr>
        <w:t xml:space="preserve"> of these student evaluations. The evaluation procedures may also utilize a system of peer evaluations, with emphasis placed on the faculty member’s professional development across the scope of their responsibilities.  </w:t>
      </w:r>
    </w:p>
    <w:p w14:paraId="3796692A" w14:textId="77777777" w:rsidR="004662B8" w:rsidRDefault="004662B8" w:rsidP="0060069D">
      <w:pPr>
        <w:shd w:val="clear" w:color="auto" w:fill="FFFFFF"/>
        <w:spacing w:after="0" w:line="480" w:lineRule="atLeast"/>
        <w:textAlignment w:val="baseline"/>
        <w:rPr>
          <w:rFonts w:eastAsia="Times New Roman" w:cstheme="minorHAnsi"/>
          <w:color w:val="000000"/>
          <w:sz w:val="27"/>
          <w:szCs w:val="27"/>
          <w:bdr w:val="none" w:sz="0" w:space="0" w:color="auto" w:frame="1"/>
        </w:rPr>
      </w:pPr>
    </w:p>
    <w:p w14:paraId="1533E91D" w14:textId="06925A14" w:rsidR="0060069D" w:rsidRPr="0060069D" w:rsidRDefault="0060069D" w:rsidP="0060069D">
      <w:pPr>
        <w:shd w:val="clear" w:color="auto" w:fill="FFFFFF"/>
        <w:spacing w:after="0" w:line="480" w:lineRule="atLeast"/>
        <w:textAlignment w:val="baseline"/>
        <w:rPr>
          <w:rFonts w:eastAsia="Times New Roman" w:cstheme="minorHAnsi"/>
          <w:color w:val="333333"/>
          <w:sz w:val="27"/>
          <w:szCs w:val="27"/>
        </w:rPr>
      </w:pPr>
      <w:r w:rsidRPr="0060069D">
        <w:rPr>
          <w:rFonts w:eastAsia="Times New Roman" w:cstheme="minorHAnsi"/>
          <w:color w:val="000000"/>
          <w:sz w:val="27"/>
          <w:szCs w:val="27"/>
          <w:bdr w:val="none" w:sz="0" w:space="0" w:color="auto" w:frame="1"/>
        </w:rPr>
        <w:t>GC</w:t>
      </w:r>
      <w:r w:rsidR="00A475C3">
        <w:rPr>
          <w:rFonts w:eastAsia="Times New Roman" w:cstheme="minorHAnsi"/>
          <w:color w:val="000000"/>
          <w:sz w:val="27"/>
          <w:szCs w:val="27"/>
          <w:bdr w:val="none" w:sz="0" w:space="0" w:color="auto" w:frame="1"/>
        </w:rPr>
        <w:t>SU</w:t>
      </w:r>
      <w:r w:rsidRPr="0060069D">
        <w:rPr>
          <w:rFonts w:eastAsia="Times New Roman" w:cstheme="minorHAnsi"/>
          <w:color w:val="000000"/>
          <w:sz w:val="27"/>
          <w:szCs w:val="27"/>
          <w:bdr w:val="none" w:sz="0" w:space="0" w:color="auto" w:frame="1"/>
        </w:rPr>
        <w:t xml:space="preserve"> values learner-centered teaching and noteworthy involvement in student success activities, and it believes that effective assessment of teaching is entwined with the assessment of learning. The measure of Teaching Effectiveness and Student Learning should include assessments of both instructional quality and quality learning. GC</w:t>
      </w:r>
      <w:r w:rsidR="00A475C3">
        <w:rPr>
          <w:rFonts w:eastAsia="Times New Roman" w:cstheme="minorHAnsi"/>
          <w:color w:val="000000"/>
          <w:sz w:val="27"/>
          <w:szCs w:val="27"/>
          <w:bdr w:val="none" w:sz="0" w:space="0" w:color="auto" w:frame="1"/>
        </w:rPr>
        <w:t>SU</w:t>
      </w:r>
      <w:r w:rsidRPr="0060069D">
        <w:rPr>
          <w:rFonts w:eastAsia="Times New Roman" w:cstheme="minorHAnsi"/>
          <w:color w:val="000000"/>
          <w:sz w:val="27"/>
          <w:szCs w:val="27"/>
          <w:bdr w:val="none" w:sz="0" w:space="0" w:color="auto" w:frame="1"/>
        </w:rPr>
        <w:t xml:space="preserve"> maintains that effective assessment should go beyond opinions collected from the SRIS. Faculty members are welcome to submit their own documentation in addition to that required by the college or department. Criteria should include measures such as an assessment of student perception, evidence of effective student learning, the use of continuous improvement methodologies, peer assessment of pedagogy, an evaluation of curricular design, quality of assessment </w:t>
      </w:r>
      <w:r w:rsidRPr="0060069D">
        <w:rPr>
          <w:rFonts w:eastAsia="Times New Roman" w:cstheme="minorHAnsi"/>
          <w:color w:val="000000"/>
          <w:sz w:val="27"/>
          <w:szCs w:val="27"/>
          <w:bdr w:val="none" w:sz="0" w:space="0" w:color="auto" w:frame="1"/>
        </w:rPr>
        <w:lastRenderedPageBreak/>
        <w:t>and course construction, and the use of established learning science methodologies.</w:t>
      </w:r>
      <w:r w:rsidRPr="0060069D">
        <w:rPr>
          <w:rFonts w:eastAsia="Times New Roman" w:cstheme="minorHAnsi"/>
          <w:b/>
          <w:bCs/>
          <w:color w:val="000000"/>
          <w:sz w:val="27"/>
          <w:szCs w:val="27"/>
          <w:bdr w:val="none" w:sz="0" w:space="0" w:color="auto" w:frame="1"/>
        </w:rPr>
        <w:t> </w:t>
      </w:r>
      <w:r w:rsidRPr="0060069D">
        <w:rPr>
          <w:rFonts w:eastAsia="Times New Roman" w:cstheme="minorHAnsi"/>
          <w:color w:val="000000"/>
          <w:sz w:val="27"/>
          <w:szCs w:val="27"/>
          <w:bdr w:val="none" w:sz="0" w:space="0" w:color="auto" w:frame="1"/>
        </w:rPr>
        <w:t>Seeking continuous improvement, every instructor at GC should consider assessing teaching and learning in their classes with at least one instrument or measure, in addition to the administration of the SRIS.  </w:t>
      </w:r>
    </w:p>
    <w:p w14:paraId="4D46539A" w14:textId="77777777" w:rsidR="004662B8" w:rsidRDefault="004662B8" w:rsidP="0060069D">
      <w:pPr>
        <w:shd w:val="clear" w:color="auto" w:fill="FFFFFF"/>
        <w:spacing w:after="0" w:line="480" w:lineRule="atLeast"/>
        <w:textAlignment w:val="baseline"/>
        <w:rPr>
          <w:rFonts w:eastAsia="Times New Roman" w:cstheme="minorHAnsi"/>
          <w:color w:val="000000"/>
          <w:sz w:val="27"/>
          <w:szCs w:val="27"/>
          <w:bdr w:val="none" w:sz="0" w:space="0" w:color="auto" w:frame="1"/>
        </w:rPr>
      </w:pPr>
    </w:p>
    <w:p w14:paraId="0382A939" w14:textId="204D3711" w:rsidR="0060069D" w:rsidRPr="0060069D" w:rsidRDefault="0060069D" w:rsidP="0060069D">
      <w:pPr>
        <w:shd w:val="clear" w:color="auto" w:fill="FFFFFF"/>
        <w:spacing w:after="0" w:line="480" w:lineRule="atLeast"/>
        <w:textAlignment w:val="baseline"/>
        <w:rPr>
          <w:rFonts w:eastAsia="Times New Roman" w:cstheme="minorHAnsi"/>
          <w:color w:val="333333"/>
          <w:sz w:val="27"/>
          <w:szCs w:val="27"/>
        </w:rPr>
      </w:pPr>
      <w:r w:rsidRPr="0060069D">
        <w:rPr>
          <w:rFonts w:eastAsia="Times New Roman" w:cstheme="minorHAnsi"/>
          <w:color w:val="000000"/>
          <w:sz w:val="27"/>
          <w:szCs w:val="27"/>
          <w:bdr w:val="none" w:sz="0" w:space="0" w:color="auto" w:frame="1"/>
        </w:rPr>
        <w:t>Evaluation of the Student Success component of teaching effectiveness will involve an assessment of the faculty member’s involvement in activities inside and outside the classroom that deepen student learning and engagement for all learners. These aspects may include effective advising and mentoring; undergraduate and graduate research; other forms of experiential learning; engagement in other high impact practices; the development of student success tools and curricular materials; strategies to improve student career success; involvement in faculty development activities; and other activities identified by GC</w:t>
      </w:r>
      <w:r w:rsidR="00A475C3">
        <w:rPr>
          <w:rFonts w:eastAsia="Times New Roman" w:cstheme="minorHAnsi"/>
          <w:color w:val="000000"/>
          <w:sz w:val="27"/>
          <w:szCs w:val="27"/>
          <w:bdr w:val="none" w:sz="0" w:space="0" w:color="auto" w:frame="1"/>
        </w:rPr>
        <w:t>SU</w:t>
      </w:r>
      <w:r w:rsidRPr="0060069D">
        <w:rPr>
          <w:rFonts w:eastAsia="Times New Roman" w:cstheme="minorHAnsi"/>
          <w:color w:val="000000"/>
          <w:sz w:val="27"/>
          <w:szCs w:val="27"/>
          <w:bdr w:val="none" w:sz="0" w:space="0" w:color="auto" w:frame="1"/>
        </w:rPr>
        <w:t xml:space="preserve"> to deepen student learning. Examples include, but are not limited to, Centers for Teaching and Learning, Chancellor’s Learning Scholars, Faculty Learning Communities and </w:t>
      </w:r>
      <w:proofErr w:type="spellStart"/>
      <w:r w:rsidRPr="0060069D">
        <w:rPr>
          <w:rFonts w:eastAsia="Times New Roman" w:cstheme="minorHAnsi"/>
          <w:color w:val="000000"/>
          <w:sz w:val="27"/>
          <w:szCs w:val="27"/>
          <w:bdr w:val="none" w:sz="0" w:space="0" w:color="auto" w:frame="1"/>
        </w:rPr>
        <w:t>MomentumU@USG</w:t>
      </w:r>
      <w:proofErr w:type="spellEnd"/>
      <w:r w:rsidRPr="0060069D">
        <w:rPr>
          <w:rFonts w:eastAsia="Times New Roman" w:cstheme="minorHAnsi"/>
          <w:color w:val="000000"/>
          <w:sz w:val="27"/>
          <w:szCs w:val="27"/>
          <w:bdr w:val="none" w:sz="0" w:space="0" w:color="auto" w:frame="1"/>
        </w:rPr>
        <w:t>.</w:t>
      </w:r>
    </w:p>
    <w:p w14:paraId="7349969B" w14:textId="0B75958A" w:rsidR="00B55D7A" w:rsidRDefault="0060069D" w:rsidP="0060069D">
      <w:pPr>
        <w:shd w:val="clear" w:color="auto" w:fill="FFFFFF"/>
        <w:spacing w:after="0" w:line="480" w:lineRule="atLeast"/>
        <w:textAlignment w:val="baseline"/>
        <w:rPr>
          <w:rFonts w:eastAsia="Times New Roman" w:cstheme="minorHAnsi"/>
          <w:color w:val="000000"/>
          <w:sz w:val="27"/>
          <w:szCs w:val="27"/>
          <w:bdr w:val="none" w:sz="0" w:space="0" w:color="auto" w:frame="1"/>
        </w:rPr>
      </w:pPr>
      <w:r w:rsidRPr="0060069D">
        <w:rPr>
          <w:rFonts w:eastAsia="Times New Roman" w:cstheme="minorHAnsi"/>
          <w:color w:val="000000"/>
          <w:sz w:val="27"/>
          <w:szCs w:val="27"/>
          <w:bdr w:val="none" w:sz="0" w:space="0" w:color="auto" w:frame="1"/>
        </w:rPr>
        <w:t>These institutional policies, processes, and stated criteria incorporate appropriate due process mechanisms and support the principles of academic freedom.</w:t>
      </w:r>
    </w:p>
    <w:p w14:paraId="0A56B834" w14:textId="77777777" w:rsidR="004662B8" w:rsidRDefault="004662B8" w:rsidP="0060069D">
      <w:pPr>
        <w:shd w:val="clear" w:color="auto" w:fill="FFFFFF"/>
        <w:spacing w:after="0" w:line="480" w:lineRule="atLeast"/>
        <w:textAlignment w:val="baseline"/>
        <w:rPr>
          <w:rFonts w:eastAsia="Times New Roman" w:cstheme="minorHAnsi"/>
          <w:b/>
          <w:bCs/>
          <w:color w:val="000000"/>
          <w:sz w:val="27"/>
          <w:szCs w:val="27"/>
          <w:bdr w:val="none" w:sz="0" w:space="0" w:color="auto" w:frame="1"/>
        </w:rPr>
      </w:pPr>
    </w:p>
    <w:p w14:paraId="1F13E13F" w14:textId="289759D1" w:rsidR="004662B8" w:rsidRDefault="004662B8" w:rsidP="004662B8">
      <w:pPr>
        <w:shd w:val="clear" w:color="auto" w:fill="FFFFFF"/>
        <w:spacing w:after="0" w:line="480" w:lineRule="atLeast"/>
        <w:textAlignment w:val="baseline"/>
        <w:rPr>
          <w:rFonts w:eastAsia="Times New Roman" w:cstheme="minorHAnsi"/>
          <w:color w:val="000000"/>
          <w:sz w:val="27"/>
          <w:szCs w:val="27"/>
          <w:bdr w:val="none" w:sz="0" w:space="0" w:color="auto" w:frame="1"/>
        </w:rPr>
      </w:pPr>
      <w:r w:rsidRPr="004662B8">
        <w:rPr>
          <w:rFonts w:eastAsia="Times New Roman" w:cstheme="minorHAnsi"/>
          <w:b/>
          <w:bCs/>
          <w:color w:val="000000"/>
          <w:sz w:val="27"/>
          <w:szCs w:val="27"/>
          <w:bdr w:val="none" w:sz="0" w:space="0" w:color="auto" w:frame="1"/>
        </w:rPr>
        <w:t>From the Annual Evaluation policy:</w:t>
      </w:r>
      <w:r>
        <w:rPr>
          <w:rFonts w:eastAsia="Times New Roman" w:cstheme="minorHAnsi"/>
          <w:b/>
          <w:bCs/>
          <w:color w:val="000000"/>
          <w:sz w:val="27"/>
          <w:szCs w:val="27"/>
          <w:bdr w:val="none" w:sz="0" w:space="0" w:color="auto" w:frame="1"/>
        </w:rPr>
        <w:t xml:space="preserve"> </w:t>
      </w:r>
      <w:r w:rsidRPr="004662B8">
        <w:rPr>
          <w:rFonts w:eastAsia="Times New Roman" w:cstheme="minorHAnsi"/>
          <w:color w:val="000000"/>
          <w:sz w:val="27"/>
          <w:szCs w:val="27"/>
          <w:bdr w:val="none" w:sz="0" w:space="0" w:color="auto" w:frame="1"/>
        </w:rPr>
        <w:t xml:space="preserve">GCSU places the most emphasis on excellent teaching in its evaluation of faculty members. Consequently, every GCSU instructor is required to administer the </w:t>
      </w:r>
      <w:r w:rsidRPr="004662B8">
        <w:rPr>
          <w:rFonts w:eastAsia="Times New Roman" w:cstheme="minorHAnsi"/>
          <w:color w:val="000000"/>
          <w:sz w:val="27"/>
          <w:szCs w:val="27"/>
          <w:highlight w:val="yellow"/>
          <w:bdr w:val="none" w:sz="0" w:space="0" w:color="auto" w:frame="1"/>
        </w:rPr>
        <w:t>Student Rating of Instruction Survey (SRIS) in all courses</w:t>
      </w:r>
      <w:r w:rsidRPr="004662B8">
        <w:rPr>
          <w:rFonts w:eastAsia="Times New Roman" w:cstheme="minorHAnsi"/>
          <w:color w:val="000000"/>
          <w:sz w:val="27"/>
          <w:szCs w:val="27"/>
          <w:bdr w:val="none" w:sz="0" w:space="0" w:color="auto" w:frame="1"/>
        </w:rPr>
        <w:t xml:space="preserve"> per term during the fall and spring semesters. In this way, instructors obtain summative </w:t>
      </w:r>
      <w:proofErr w:type="gramStart"/>
      <w:r w:rsidRPr="004662B8">
        <w:rPr>
          <w:rFonts w:eastAsia="Times New Roman" w:cstheme="minorHAnsi"/>
          <w:color w:val="000000"/>
          <w:sz w:val="27"/>
          <w:szCs w:val="27"/>
          <w:bdr w:val="none" w:sz="0" w:space="0" w:color="auto" w:frame="1"/>
        </w:rPr>
        <w:t>and also</w:t>
      </w:r>
      <w:proofErr w:type="gramEnd"/>
      <w:r w:rsidRPr="004662B8">
        <w:rPr>
          <w:rFonts w:eastAsia="Times New Roman" w:cstheme="minorHAnsi"/>
          <w:color w:val="000000"/>
          <w:sz w:val="27"/>
          <w:szCs w:val="27"/>
          <w:bdr w:val="none" w:sz="0" w:space="0" w:color="auto" w:frame="1"/>
        </w:rPr>
        <w:t xml:space="preserve"> often formative feedback from students.</w:t>
      </w:r>
    </w:p>
    <w:p w14:paraId="1FB9754A" w14:textId="77777777" w:rsidR="004662B8" w:rsidRPr="004662B8" w:rsidRDefault="004662B8" w:rsidP="004662B8">
      <w:pPr>
        <w:shd w:val="clear" w:color="auto" w:fill="FFFFFF"/>
        <w:spacing w:after="0" w:line="480" w:lineRule="atLeast"/>
        <w:textAlignment w:val="baseline"/>
        <w:rPr>
          <w:rFonts w:eastAsia="Times New Roman" w:cstheme="minorHAnsi"/>
          <w:color w:val="000000"/>
          <w:sz w:val="27"/>
          <w:szCs w:val="27"/>
          <w:bdr w:val="none" w:sz="0" w:space="0" w:color="auto" w:frame="1"/>
        </w:rPr>
      </w:pPr>
    </w:p>
    <w:p w14:paraId="58B4F1D8" w14:textId="77777777" w:rsidR="004662B8" w:rsidRPr="004662B8" w:rsidRDefault="004662B8" w:rsidP="004662B8">
      <w:pPr>
        <w:shd w:val="clear" w:color="auto" w:fill="FFFFFF"/>
        <w:spacing w:after="0" w:line="480" w:lineRule="atLeast"/>
        <w:textAlignment w:val="baseline"/>
        <w:rPr>
          <w:rFonts w:eastAsia="Times New Roman" w:cstheme="minorHAnsi"/>
          <w:color w:val="000000"/>
          <w:sz w:val="27"/>
          <w:szCs w:val="27"/>
          <w:bdr w:val="none" w:sz="0" w:space="0" w:color="auto" w:frame="1"/>
        </w:rPr>
      </w:pPr>
    </w:p>
    <w:p w14:paraId="67DB87E9" w14:textId="6F5610EF" w:rsidR="004662B8" w:rsidRPr="004662B8" w:rsidRDefault="004662B8" w:rsidP="004662B8">
      <w:pPr>
        <w:shd w:val="clear" w:color="auto" w:fill="FFFFFF"/>
        <w:spacing w:after="0" w:line="480" w:lineRule="atLeast"/>
        <w:textAlignment w:val="baseline"/>
        <w:rPr>
          <w:rFonts w:eastAsia="Times New Roman" w:cstheme="minorHAnsi"/>
          <w:color w:val="333333"/>
          <w:sz w:val="27"/>
          <w:szCs w:val="27"/>
        </w:rPr>
      </w:pPr>
      <w:r w:rsidRPr="004662B8">
        <w:rPr>
          <w:rFonts w:eastAsia="Times New Roman" w:cstheme="minorHAnsi"/>
          <w:color w:val="000000"/>
          <w:sz w:val="27"/>
          <w:szCs w:val="27"/>
          <w:bdr w:val="none" w:sz="0" w:space="0" w:color="auto" w:frame="1"/>
        </w:rPr>
        <w:lastRenderedPageBreak/>
        <w:t xml:space="preserve">GCSU values learner-centered teaching, and it believes that effective assessment of teaching is entwined with assessment of learning. Therefore, the institution maintains that effective assessment must go beyond opinions collected from the </w:t>
      </w:r>
      <w:r>
        <w:rPr>
          <w:rFonts w:eastAsia="Times New Roman" w:cstheme="minorHAnsi"/>
          <w:color w:val="000000"/>
          <w:sz w:val="27"/>
          <w:szCs w:val="27"/>
          <w:bdr w:val="none" w:sz="0" w:space="0" w:color="auto" w:frame="1"/>
        </w:rPr>
        <w:t>SRIS</w:t>
      </w:r>
      <w:r w:rsidRPr="004662B8">
        <w:rPr>
          <w:rFonts w:eastAsia="Times New Roman" w:cstheme="minorHAnsi"/>
          <w:color w:val="000000"/>
          <w:sz w:val="27"/>
          <w:szCs w:val="27"/>
          <w:bdr w:val="none" w:sz="0" w:space="0" w:color="auto" w:frame="1"/>
        </w:rPr>
        <w:t>. Seeking continuous improvement, every instructor at GCSU assesses teaching and learning in their classes with at least one instrument or measure. These assessments are in addition to the administration of the Student Opinion Survey.</w:t>
      </w:r>
    </w:p>
    <w:p w14:paraId="317EAA0D" w14:textId="77777777" w:rsidR="00F669A4"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634E8FAF" w14:textId="77777777"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Definitions:</w:t>
      </w:r>
    </w:p>
    <w:p w14:paraId="33695E28" w14:textId="77777777" w:rsidR="00B55D7A" w:rsidRDefault="00B55D7A" w:rsidP="00906986">
      <w:pPr>
        <w:shd w:val="clear" w:color="auto" w:fill="FFFFFF"/>
        <w:spacing w:after="0" w:line="240" w:lineRule="auto"/>
        <w:textAlignment w:val="baseline"/>
        <w:rPr>
          <w:rFonts w:eastAsia="Times New Roman" w:cs="Helvetica"/>
          <w:color w:val="333333"/>
          <w:sz w:val="27"/>
          <w:szCs w:val="27"/>
        </w:rPr>
      </w:pPr>
    </w:p>
    <w:p w14:paraId="31812CA1" w14:textId="05B77DD7" w:rsidR="00B55D7A" w:rsidRPr="00B55D7A" w:rsidRDefault="00B55D7A" w:rsidP="00B55D7A">
      <w:pPr>
        <w:rPr>
          <w:i/>
          <w:iCs/>
          <w:sz w:val="27"/>
          <w:szCs w:val="27"/>
        </w:rPr>
      </w:pPr>
      <w:r w:rsidRPr="00B55D7A">
        <w:rPr>
          <w:i/>
          <w:iCs/>
          <w:sz w:val="27"/>
          <w:szCs w:val="27"/>
        </w:rPr>
        <w:t xml:space="preserve">Student </w:t>
      </w:r>
      <w:r w:rsidR="0060069D">
        <w:rPr>
          <w:i/>
          <w:iCs/>
          <w:sz w:val="27"/>
          <w:szCs w:val="27"/>
        </w:rPr>
        <w:t>Rating of Instruction (SRIS)</w:t>
      </w:r>
      <w:r w:rsidRPr="00B55D7A">
        <w:rPr>
          <w:i/>
          <w:iCs/>
          <w:sz w:val="27"/>
          <w:szCs w:val="27"/>
        </w:rPr>
        <w:t>:</w:t>
      </w:r>
    </w:p>
    <w:p w14:paraId="4399E7DE" w14:textId="7D378ED0" w:rsidR="00B55D7A" w:rsidRPr="00B55D7A" w:rsidRDefault="00B55D7A" w:rsidP="00B55D7A">
      <w:pPr>
        <w:rPr>
          <w:sz w:val="27"/>
          <w:szCs w:val="27"/>
        </w:rPr>
      </w:pPr>
      <w:r w:rsidRPr="00B55D7A">
        <w:rPr>
          <w:sz w:val="27"/>
          <w:szCs w:val="27"/>
        </w:rPr>
        <w:t>A</w:t>
      </w:r>
      <w:r w:rsidR="0060069D">
        <w:rPr>
          <w:sz w:val="27"/>
          <w:szCs w:val="27"/>
        </w:rPr>
        <w:t>n</w:t>
      </w:r>
      <w:r w:rsidRPr="00B55D7A">
        <w:rPr>
          <w:sz w:val="27"/>
          <w:szCs w:val="27"/>
        </w:rPr>
        <w:t xml:space="preserve"> online form designed to collect feedback from students regarding teaching effectiveness.</w:t>
      </w:r>
    </w:p>
    <w:p w14:paraId="0260FF27" w14:textId="77777777" w:rsidR="00B55D7A" w:rsidRPr="00B55D7A" w:rsidRDefault="00B55D7A" w:rsidP="00B55D7A">
      <w:pPr>
        <w:rPr>
          <w:i/>
          <w:iCs/>
          <w:sz w:val="27"/>
          <w:szCs w:val="27"/>
        </w:rPr>
      </w:pPr>
      <w:r w:rsidRPr="00B55D7A">
        <w:rPr>
          <w:i/>
          <w:iCs/>
          <w:sz w:val="27"/>
          <w:szCs w:val="27"/>
        </w:rPr>
        <w:t>Class:</w:t>
      </w:r>
    </w:p>
    <w:p w14:paraId="5E2923ED" w14:textId="77777777" w:rsidR="00B55D7A" w:rsidRPr="00B55D7A" w:rsidRDefault="00B55D7A" w:rsidP="00B55D7A">
      <w:pPr>
        <w:rPr>
          <w:sz w:val="27"/>
          <w:szCs w:val="27"/>
        </w:rPr>
      </w:pPr>
      <w:r w:rsidRPr="00B55D7A">
        <w:rPr>
          <w:sz w:val="27"/>
          <w:szCs w:val="27"/>
        </w:rPr>
        <w:t>A section of a course containing a group of students who have registered for that section.</w:t>
      </w:r>
    </w:p>
    <w:p w14:paraId="6B54341B" w14:textId="77777777" w:rsidR="00B55D7A" w:rsidRPr="00B55D7A" w:rsidRDefault="00B55D7A" w:rsidP="00B55D7A">
      <w:pPr>
        <w:rPr>
          <w:i/>
          <w:iCs/>
          <w:sz w:val="27"/>
          <w:szCs w:val="27"/>
        </w:rPr>
      </w:pPr>
      <w:r w:rsidRPr="00B55D7A">
        <w:rPr>
          <w:i/>
          <w:iCs/>
          <w:sz w:val="27"/>
          <w:szCs w:val="27"/>
        </w:rPr>
        <w:t>Instructor:</w:t>
      </w:r>
    </w:p>
    <w:p w14:paraId="20928EE8" w14:textId="5A74D74A" w:rsidR="00B55D7A" w:rsidRPr="00B55D7A" w:rsidRDefault="00B55D7A" w:rsidP="00B55D7A">
      <w:pPr>
        <w:rPr>
          <w:sz w:val="27"/>
          <w:szCs w:val="27"/>
        </w:rPr>
      </w:pPr>
      <w:r w:rsidRPr="00B55D7A">
        <w:rPr>
          <w:sz w:val="27"/>
          <w:szCs w:val="27"/>
        </w:rPr>
        <w:t xml:space="preserve">The faculty member </w:t>
      </w:r>
      <w:proofErr w:type="gramStart"/>
      <w:r w:rsidRPr="00B55D7A">
        <w:rPr>
          <w:sz w:val="27"/>
          <w:szCs w:val="27"/>
        </w:rPr>
        <w:t>responsible</w:t>
      </w:r>
      <w:proofErr w:type="gramEnd"/>
      <w:r w:rsidRPr="00B55D7A">
        <w:rPr>
          <w:sz w:val="27"/>
          <w:szCs w:val="27"/>
        </w:rPr>
        <w:t xml:space="preserve"> for conducting the day-to-day instructional activities for a class and the assignment of grades to the students taking the class.</w:t>
      </w:r>
    </w:p>
    <w:p w14:paraId="49EA4269" w14:textId="6614E426" w:rsidR="00B55D7A" w:rsidRPr="00B55D7A" w:rsidRDefault="00906986" w:rsidP="00B55D7A">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Keywords:</w:t>
      </w:r>
      <w:r w:rsidR="00B55D7A">
        <w:rPr>
          <w:rFonts w:eastAsia="Times New Roman" w:cs="Helvetica"/>
          <w:b/>
          <w:bCs/>
          <w:color w:val="333333"/>
          <w:sz w:val="27"/>
          <w:szCs w:val="27"/>
          <w:bdr w:val="none" w:sz="0" w:space="0" w:color="auto" w:frame="1"/>
        </w:rPr>
        <w:t xml:space="preserve"> </w:t>
      </w:r>
      <w:r w:rsidR="00B55D7A" w:rsidRPr="00B55D7A">
        <w:rPr>
          <w:sz w:val="27"/>
          <w:szCs w:val="27"/>
        </w:rPr>
        <w:t>evaluation of teaching</w:t>
      </w:r>
      <w:r w:rsidR="00BC714D">
        <w:rPr>
          <w:sz w:val="27"/>
          <w:szCs w:val="27"/>
        </w:rPr>
        <w:t>; faculty evaluation; individual faculty review</w:t>
      </w:r>
    </w:p>
    <w:p w14:paraId="183F3775"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4C3F40DF" w14:textId="0CA08048"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Reason for the Policy:</w:t>
      </w:r>
      <w:r w:rsidR="00B55D7A">
        <w:rPr>
          <w:rFonts w:eastAsia="Times New Roman" w:cs="Helvetica"/>
          <w:b/>
          <w:bCs/>
          <w:color w:val="333333"/>
          <w:sz w:val="27"/>
          <w:szCs w:val="27"/>
          <w:bdr w:val="none" w:sz="0" w:space="0" w:color="auto" w:frame="1"/>
        </w:rPr>
        <w:t xml:space="preserve"> </w:t>
      </w:r>
    </w:p>
    <w:p w14:paraId="5C7941EC" w14:textId="77777777" w:rsidR="00B55D7A" w:rsidRDefault="00B55D7A"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0AB9F53A" w14:textId="77777777" w:rsid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 xml:space="preserve">The University System of Georgia Board of Regents Policy Manual (8.3.5.1) requires that each institution, as part of its evaluative procedures, will utilize a written system of faculty evaluations by students, with the improvement of teaching effectiveness as the </w:t>
      </w:r>
      <w:proofErr w:type="gramStart"/>
      <w:r w:rsidRPr="00B55D7A">
        <w:rPr>
          <w:rFonts w:eastAsia="Times New Roman" w:cs="Helvetica"/>
          <w:color w:val="333333"/>
          <w:sz w:val="27"/>
          <w:szCs w:val="27"/>
        </w:rPr>
        <w:t>main focus</w:t>
      </w:r>
      <w:proofErr w:type="gramEnd"/>
      <w:r w:rsidRPr="00B55D7A">
        <w:rPr>
          <w:rFonts w:eastAsia="Times New Roman" w:cs="Helvetica"/>
          <w:color w:val="333333"/>
          <w:sz w:val="27"/>
          <w:szCs w:val="27"/>
        </w:rPr>
        <w:t xml:space="preserve"> of these student evaluations.</w:t>
      </w:r>
    </w:p>
    <w:p w14:paraId="78186AD1" w14:textId="77777777"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p>
    <w:p w14:paraId="1B0172A9" w14:textId="77777777" w:rsid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Each USG institution shall establish clearly stated promotion criteria (BOR Policy 8.3.6) and procedures that emphasize excellence in teaching for all teaching faculty. Similarly, the minimum criteria for tenure include superior teaching, which requires demonstration of excellence in instruction (BOR Policy 8.3.7).</w:t>
      </w:r>
    </w:p>
    <w:p w14:paraId="734C642F" w14:textId="77777777"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p>
    <w:p w14:paraId="43387A9E" w14:textId="219886E7" w:rsid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lastRenderedPageBreak/>
        <w:t xml:space="preserve">Therefore, the major purposes of the evaluation of teaching are to be one factor for evaluators to use to help determine the level of teaching performance </w:t>
      </w:r>
      <w:proofErr w:type="gramStart"/>
      <w:r w:rsidRPr="00B55D7A">
        <w:rPr>
          <w:rFonts w:eastAsia="Times New Roman" w:cs="Helvetica"/>
          <w:color w:val="333333"/>
          <w:sz w:val="27"/>
          <w:szCs w:val="27"/>
        </w:rPr>
        <w:t>in order to</w:t>
      </w:r>
      <w:proofErr w:type="gramEnd"/>
      <w:r w:rsidRPr="00B55D7A">
        <w:rPr>
          <w:rFonts w:eastAsia="Times New Roman" w:cs="Helvetica"/>
          <w:color w:val="333333"/>
          <w:sz w:val="27"/>
          <w:szCs w:val="27"/>
        </w:rPr>
        <w:t xml:space="preserve"> improve teaching effectiveness, to assess progress toward promotion and tenure, and to inform annual faculty evaluations.</w:t>
      </w:r>
    </w:p>
    <w:p w14:paraId="652A15F7" w14:textId="77777777" w:rsidR="00BC714D" w:rsidRDefault="00BC714D" w:rsidP="00B55D7A">
      <w:pPr>
        <w:shd w:val="clear" w:color="auto" w:fill="FFFFFF"/>
        <w:spacing w:after="0" w:line="240" w:lineRule="auto"/>
        <w:textAlignment w:val="baseline"/>
        <w:rPr>
          <w:rFonts w:eastAsia="Times New Roman" w:cs="Helvetica"/>
          <w:color w:val="333333"/>
          <w:sz w:val="27"/>
          <w:szCs w:val="27"/>
        </w:rPr>
      </w:pPr>
    </w:p>
    <w:p w14:paraId="12FD3AA3" w14:textId="080B3490" w:rsidR="00BC714D" w:rsidRPr="00906986" w:rsidRDefault="00BC714D" w:rsidP="00B55D7A">
      <w:pPr>
        <w:shd w:val="clear" w:color="auto" w:fill="FFFFFF"/>
        <w:spacing w:after="0" w:line="240" w:lineRule="auto"/>
        <w:textAlignment w:val="baseline"/>
        <w:rPr>
          <w:rFonts w:eastAsia="Times New Roman" w:cs="Helvetica"/>
          <w:color w:val="333333"/>
          <w:sz w:val="27"/>
          <w:szCs w:val="27"/>
        </w:rPr>
      </w:pPr>
      <w:r>
        <w:rPr>
          <w:rFonts w:eastAsia="Times New Roman" w:cs="Helvetica"/>
          <w:color w:val="333333"/>
          <w:sz w:val="27"/>
          <w:szCs w:val="27"/>
        </w:rPr>
        <w:t>This policy will bring GCSU into alignment with other USG institutions in our use of SRIS as one evaluation criteria for our faculty review process.</w:t>
      </w:r>
    </w:p>
    <w:p w14:paraId="31A87BC9"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27A1A084" w14:textId="77777777"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Proposed Outcome:</w:t>
      </w:r>
    </w:p>
    <w:p w14:paraId="72ADA5AC" w14:textId="77777777" w:rsidR="00B55D7A" w:rsidRDefault="00B55D7A"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12F0BF71" w14:textId="2047918F" w:rsidR="00B55D7A" w:rsidRPr="00906986" w:rsidRDefault="00B55D7A" w:rsidP="00906986">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The application of this policy should ensure a coordinated university-wide approach to the use of student opinion surveys as one means of evaluating teaching effectiveness.</w:t>
      </w:r>
    </w:p>
    <w:p w14:paraId="7E97C144"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1EDE3B53" w14:textId="77777777"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Applicability of the Policy:</w:t>
      </w:r>
    </w:p>
    <w:p w14:paraId="68083657" w14:textId="77777777" w:rsidR="00B55D7A" w:rsidRDefault="00B55D7A"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574D98A2" w14:textId="62BDF4F3" w:rsidR="00B55D7A" w:rsidRPr="00B55D7A" w:rsidRDefault="00B55D7A" w:rsidP="00906986">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The teaching performance of all instructors, regardless of their academic ranks or tenure status, is subject to evaluation. This policy applies to all instructors.</w:t>
      </w:r>
    </w:p>
    <w:p w14:paraId="4E96AF1A"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05C84B05" w14:textId="77777777"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Related Policies:</w:t>
      </w:r>
    </w:p>
    <w:p w14:paraId="27775B59" w14:textId="77777777" w:rsidR="00B55D7A" w:rsidRDefault="00B55D7A" w:rsidP="00B55D7A">
      <w:pPr>
        <w:shd w:val="clear" w:color="auto" w:fill="FFFFFF"/>
        <w:spacing w:after="0" w:line="240" w:lineRule="auto"/>
        <w:textAlignment w:val="baseline"/>
        <w:rPr>
          <w:rFonts w:eastAsia="Times New Roman" w:cs="Helvetica"/>
          <w:color w:val="333333"/>
          <w:sz w:val="27"/>
          <w:szCs w:val="27"/>
        </w:rPr>
      </w:pPr>
    </w:p>
    <w:p w14:paraId="6D07D824" w14:textId="6948C340"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Board of Regents Policy Manual</w:t>
      </w:r>
    </w:p>
    <w:p w14:paraId="60FBE17A" w14:textId="77777777"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8.3.5 Evaluation of Personnel</w:t>
      </w:r>
    </w:p>
    <w:p w14:paraId="3A05DDA9" w14:textId="77777777"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8.3.6 Criteria for Promotion</w:t>
      </w:r>
    </w:p>
    <w:p w14:paraId="579C413C" w14:textId="0E157C28"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8.3.7 Criteria for Tenure</w:t>
      </w:r>
    </w:p>
    <w:p w14:paraId="6FF2B8BC"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4DA5EDCC" w14:textId="5DC4F988"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Procedures:</w:t>
      </w:r>
    </w:p>
    <w:p w14:paraId="348FA04F" w14:textId="77777777" w:rsidR="00B55D7A" w:rsidRDefault="00B55D7A"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71A07B5B" w14:textId="08C41B03" w:rsidR="00D34AE8" w:rsidRPr="00BC714D" w:rsidRDefault="00BC714D" w:rsidP="00BC714D">
      <w:pPr>
        <w:shd w:val="clear" w:color="auto" w:fill="FFFFFF"/>
        <w:spacing w:after="0" w:line="240" w:lineRule="auto"/>
        <w:textAlignment w:val="baseline"/>
        <w:rPr>
          <w:sz w:val="27"/>
          <w:szCs w:val="27"/>
        </w:rPr>
      </w:pPr>
      <w:r w:rsidRPr="00BC714D">
        <w:rPr>
          <w:rFonts w:eastAsia="Times New Roman" w:cs="Helvetica"/>
          <w:color w:val="333333"/>
          <w:sz w:val="27"/>
          <w:szCs w:val="27"/>
          <w:bdr w:val="none" w:sz="0" w:space="0" w:color="auto" w:frame="1"/>
        </w:rPr>
        <w:t>No change in procedure</w:t>
      </w:r>
      <w:r w:rsidR="009A6F0B">
        <w:rPr>
          <w:rFonts w:eastAsia="Times New Roman" w:cs="Helvetica"/>
          <w:color w:val="333333"/>
          <w:sz w:val="27"/>
          <w:szCs w:val="27"/>
          <w:bdr w:val="none" w:sz="0" w:space="0" w:color="auto" w:frame="1"/>
        </w:rPr>
        <w:t>s</w:t>
      </w:r>
      <w:r w:rsidRPr="00BC714D">
        <w:rPr>
          <w:rFonts w:eastAsia="Times New Roman" w:cs="Helvetica"/>
          <w:color w:val="333333"/>
          <w:sz w:val="27"/>
          <w:szCs w:val="27"/>
          <w:bdr w:val="none" w:sz="0" w:space="0" w:color="auto" w:frame="1"/>
        </w:rPr>
        <w:t xml:space="preserve"> </w:t>
      </w:r>
      <w:proofErr w:type="gramStart"/>
      <w:r w:rsidRPr="00BC714D">
        <w:rPr>
          <w:rFonts w:eastAsia="Times New Roman" w:cs="Helvetica"/>
          <w:color w:val="333333"/>
          <w:sz w:val="27"/>
          <w:szCs w:val="27"/>
          <w:bdr w:val="none" w:sz="0" w:space="0" w:color="auto" w:frame="1"/>
        </w:rPr>
        <w:t>are</w:t>
      </w:r>
      <w:proofErr w:type="gramEnd"/>
      <w:r w:rsidRPr="00BC714D">
        <w:rPr>
          <w:rFonts w:eastAsia="Times New Roman" w:cs="Helvetica"/>
          <w:color w:val="333333"/>
          <w:sz w:val="27"/>
          <w:szCs w:val="27"/>
          <w:bdr w:val="none" w:sz="0" w:space="0" w:color="auto" w:frame="1"/>
        </w:rPr>
        <w:t xml:space="preserve"> required at this time.</w:t>
      </w:r>
    </w:p>
    <w:p w14:paraId="75A0F8C7" w14:textId="77777777" w:rsidR="00BC714D" w:rsidRPr="00257808" w:rsidRDefault="00BC714D" w:rsidP="00BC714D">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34A94081" w14:textId="77777777" w:rsidR="00D34AE8" w:rsidRPr="00D34AE8" w:rsidRDefault="00D34AE8" w:rsidP="00D34AE8">
      <w:pPr>
        <w:jc w:val="both"/>
        <w:rPr>
          <w:rFonts w:eastAsia="Arial" w:cs="Arial"/>
          <w:b/>
          <w:bCs/>
          <w:sz w:val="27"/>
          <w:szCs w:val="27"/>
        </w:rPr>
      </w:pPr>
      <w:r w:rsidRPr="00D34AE8">
        <w:rPr>
          <w:rFonts w:eastAsia="Arial" w:cs="Arial"/>
          <w:b/>
          <w:bCs/>
          <w:sz w:val="27"/>
          <w:szCs w:val="27"/>
        </w:rPr>
        <w:t>Non-Compliance</w:t>
      </w:r>
      <w:r>
        <w:rPr>
          <w:rFonts w:eastAsia="Arial" w:cs="Arial"/>
          <w:b/>
          <w:bCs/>
          <w:sz w:val="27"/>
          <w:szCs w:val="27"/>
        </w:rPr>
        <w:t>:</w:t>
      </w:r>
    </w:p>
    <w:p w14:paraId="5C1C64CF" w14:textId="77777777" w:rsidR="00D34AE8" w:rsidRPr="00D34AE8" w:rsidRDefault="00D34AE8" w:rsidP="00D34AE8">
      <w:pPr>
        <w:jc w:val="both"/>
        <w:rPr>
          <w:rFonts w:eastAsia="Arial" w:cs="Arial"/>
        </w:rPr>
      </w:pPr>
      <w:r w:rsidRPr="00D34AE8">
        <w:rPr>
          <w:rFonts w:eastAsia="Arial" w:cs="Arial"/>
        </w:rPr>
        <w:t>Failure to comply with the requirements of this policy may result in disciplinary action up to and including termination or expulsion in accordance with relevant University policies and may result in prosecution in accordance with state and federal law.</w:t>
      </w:r>
    </w:p>
    <w:p w14:paraId="48545222" w14:textId="77777777" w:rsidR="00462F2C" w:rsidRDefault="00462F2C"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65DFC2A2" w14:textId="77777777" w:rsidR="00462F2C" w:rsidRPr="00C35ED1" w:rsidRDefault="00462F2C" w:rsidP="00462F2C">
      <w:pPr>
        <w:pStyle w:val="Footer"/>
        <w:rPr>
          <w:rFonts w:cs="Arial"/>
        </w:rPr>
      </w:pPr>
      <w:r w:rsidRPr="00C35ED1">
        <w:rPr>
          <w:rFonts w:cs="Arial"/>
        </w:rPr>
        <w:t xml:space="preserve">Creation Date:  </w:t>
      </w:r>
      <w:r w:rsidR="00577455">
        <w:rPr>
          <w:rFonts w:cs="Arial"/>
        </w:rPr>
        <w:t>Month, Year for new policies</w:t>
      </w:r>
    </w:p>
    <w:p w14:paraId="543AAA5A" w14:textId="752E2357" w:rsidR="00462F2C" w:rsidRPr="00C35ED1" w:rsidRDefault="00C35ED1" w:rsidP="00462F2C">
      <w:pPr>
        <w:pStyle w:val="Footer"/>
        <w:rPr>
          <w:rFonts w:cs="Arial"/>
        </w:rPr>
      </w:pPr>
      <w:r>
        <w:rPr>
          <w:rFonts w:cs="Arial"/>
        </w:rPr>
        <w:t xml:space="preserve">Revision Date: </w:t>
      </w:r>
      <w:r w:rsidR="00577455">
        <w:rPr>
          <w:rFonts w:cs="Arial"/>
        </w:rPr>
        <w:t xml:space="preserve"> </w:t>
      </w:r>
      <w:r w:rsidR="00B55D7A">
        <w:rPr>
          <w:rFonts w:cs="Arial"/>
        </w:rPr>
        <w:t>Feb 9</w:t>
      </w:r>
      <w:r w:rsidR="00577455">
        <w:rPr>
          <w:rFonts w:cs="Arial"/>
        </w:rPr>
        <w:t xml:space="preserve">, </w:t>
      </w:r>
      <w:r w:rsidR="00B55D7A">
        <w:rPr>
          <w:rFonts w:cs="Arial"/>
        </w:rPr>
        <w:t>2024</w:t>
      </w:r>
    </w:p>
    <w:p w14:paraId="69A60EF1" w14:textId="77777777" w:rsidR="00462F2C" w:rsidRPr="00C35ED1" w:rsidRDefault="00462F2C" w:rsidP="00462F2C">
      <w:pPr>
        <w:pStyle w:val="Footer"/>
        <w:rPr>
          <w:rFonts w:cs="Arial"/>
        </w:rPr>
      </w:pPr>
      <w:r w:rsidRPr="00C35ED1">
        <w:rPr>
          <w:rFonts w:cs="Arial"/>
        </w:rPr>
        <w:t>Last Review</w:t>
      </w:r>
      <w:r w:rsidR="0023431B">
        <w:rPr>
          <w:rFonts w:cs="Arial"/>
        </w:rPr>
        <w:t>ed</w:t>
      </w:r>
      <w:r w:rsidRPr="00C35ED1">
        <w:rPr>
          <w:rFonts w:cs="Arial"/>
        </w:rPr>
        <w:t xml:space="preserve"> Date: </w:t>
      </w:r>
      <w:r w:rsidR="00577455">
        <w:rPr>
          <w:rFonts w:cs="Arial"/>
        </w:rPr>
        <w:t xml:space="preserve"> Month, Year</w:t>
      </w:r>
    </w:p>
    <w:p w14:paraId="229821FF" w14:textId="77777777" w:rsidR="00462F2C" w:rsidRPr="00C35ED1" w:rsidRDefault="00462F2C" w:rsidP="00462F2C">
      <w:pPr>
        <w:pStyle w:val="Footer"/>
        <w:rPr>
          <w:rFonts w:cs="Arial"/>
        </w:rPr>
      </w:pPr>
      <w:r w:rsidRPr="00C35ED1">
        <w:rPr>
          <w:rFonts w:cs="Arial"/>
        </w:rPr>
        <w:lastRenderedPageBreak/>
        <w:t xml:space="preserve">Next Review Date: </w:t>
      </w:r>
      <w:r w:rsidR="00577455">
        <w:rPr>
          <w:rFonts w:cs="Arial"/>
        </w:rPr>
        <w:t xml:space="preserve"> Month, Year - Two years from Last Review</w:t>
      </w:r>
      <w:r w:rsidR="0023431B">
        <w:rPr>
          <w:rFonts w:cs="Arial"/>
        </w:rPr>
        <w:t>ed</w:t>
      </w:r>
      <w:r w:rsidR="00577455">
        <w:rPr>
          <w:rFonts w:cs="Arial"/>
        </w:rPr>
        <w:t xml:space="preserve"> Date</w:t>
      </w:r>
    </w:p>
    <w:p w14:paraId="415D0370" w14:textId="1830C9A0" w:rsidR="00462F2C" w:rsidRPr="00C35ED1" w:rsidRDefault="00462F2C" w:rsidP="00462F2C">
      <w:pPr>
        <w:pStyle w:val="Footer"/>
        <w:rPr>
          <w:rFonts w:cs="Arial"/>
        </w:rPr>
      </w:pPr>
      <w:r w:rsidRPr="00C35ED1">
        <w:rPr>
          <w:rFonts w:cs="Arial"/>
        </w:rPr>
        <w:t xml:space="preserve">Responsible Department:  </w:t>
      </w:r>
      <w:r w:rsidR="00B55D7A">
        <w:rPr>
          <w:rFonts w:cs="Arial"/>
        </w:rPr>
        <w:t>Academic Affairs</w:t>
      </w:r>
    </w:p>
    <w:p w14:paraId="2859A453" w14:textId="77777777" w:rsidR="00397456" w:rsidRDefault="00397456" w:rsidP="00462F2C">
      <w:pPr>
        <w:pStyle w:val="Footer"/>
        <w:rPr>
          <w:rFonts w:cs="Arial"/>
        </w:rPr>
      </w:pPr>
      <w:r>
        <w:rPr>
          <w:rFonts w:cs="Arial"/>
        </w:rPr>
        <w:t>Cabinet Approval Date:</w:t>
      </w:r>
      <w:r w:rsidR="00577455">
        <w:rPr>
          <w:rFonts w:cs="Arial"/>
        </w:rPr>
        <w:t xml:space="preserve"> </w:t>
      </w:r>
    </w:p>
    <w:p w14:paraId="1201C651" w14:textId="77777777" w:rsidR="00462F2C" w:rsidRPr="00C35ED1" w:rsidRDefault="00462F2C" w:rsidP="00462F2C">
      <w:pPr>
        <w:pStyle w:val="Footer"/>
        <w:rPr>
          <w:rFonts w:cs="Arial"/>
        </w:rPr>
      </w:pPr>
      <w:r w:rsidRPr="00C35ED1">
        <w:rPr>
          <w:rFonts w:cs="Arial"/>
        </w:rPr>
        <w:t xml:space="preserve">Effective Date: </w:t>
      </w:r>
    </w:p>
    <w:p w14:paraId="6921D3CF" w14:textId="77777777" w:rsidR="00462F2C" w:rsidRPr="00C35ED1" w:rsidRDefault="00462F2C" w:rsidP="00906986">
      <w:pPr>
        <w:shd w:val="clear" w:color="auto" w:fill="FFFFFF"/>
        <w:spacing w:after="0" w:line="240" w:lineRule="auto"/>
        <w:textAlignment w:val="baseline"/>
        <w:rPr>
          <w:rFonts w:eastAsia="Times New Roman" w:cs="Helvetica"/>
          <w:color w:val="333333"/>
          <w:sz w:val="27"/>
          <w:szCs w:val="27"/>
        </w:rPr>
      </w:pPr>
    </w:p>
    <w:sectPr w:rsidR="00462F2C" w:rsidRPr="00C35ED1" w:rsidSect="00E4755E">
      <w:headerReference w:type="default" r:id="rId11"/>
      <w:footerReference w:type="default" r:id="rId1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4C02" w14:textId="77777777" w:rsidR="00E4755E" w:rsidRDefault="00E4755E" w:rsidP="00C35ED1">
      <w:pPr>
        <w:spacing w:after="0" w:line="240" w:lineRule="auto"/>
      </w:pPr>
      <w:r>
        <w:separator/>
      </w:r>
    </w:p>
  </w:endnote>
  <w:endnote w:type="continuationSeparator" w:id="0">
    <w:p w14:paraId="5BB18F16" w14:textId="77777777" w:rsidR="00E4755E" w:rsidRDefault="00E4755E" w:rsidP="00C3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7082" w14:textId="77777777" w:rsidR="00257808" w:rsidRDefault="00257808">
    <w:pPr>
      <w:pStyle w:val="Footer"/>
    </w:pPr>
    <w:r>
      <w:t>OLA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B292" w14:textId="77777777" w:rsidR="00E4755E" w:rsidRDefault="00E4755E" w:rsidP="00C35ED1">
      <w:pPr>
        <w:spacing w:after="0" w:line="240" w:lineRule="auto"/>
      </w:pPr>
      <w:r>
        <w:separator/>
      </w:r>
    </w:p>
  </w:footnote>
  <w:footnote w:type="continuationSeparator" w:id="0">
    <w:p w14:paraId="3292452C" w14:textId="77777777" w:rsidR="00E4755E" w:rsidRDefault="00E4755E" w:rsidP="00C3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85F1" w14:textId="77777777" w:rsidR="00C35ED1" w:rsidRPr="006A2222" w:rsidRDefault="00C35ED1" w:rsidP="00C35ED1">
    <w:pPr>
      <w:spacing w:after="0" w:line="240" w:lineRule="auto"/>
      <w:jc w:val="right"/>
      <w:rPr>
        <w:rFonts w:ascii="Garamond" w:eastAsia="Calibri" w:hAnsi="Garamond" w:cs="Times New Roman"/>
        <w:b/>
        <w:szCs w:val="24"/>
      </w:rPr>
    </w:pPr>
    <w:r w:rsidRPr="006A222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FF05450" wp14:editId="61DF41A6">
          <wp:simplePos x="0" y="0"/>
          <wp:positionH relativeFrom="margin">
            <wp:align>left</wp:align>
          </wp:positionH>
          <wp:positionV relativeFrom="paragraph">
            <wp:posOffset>5080</wp:posOffset>
          </wp:positionV>
          <wp:extent cx="2096770" cy="704850"/>
          <wp:effectExtent l="0" t="0" r="0" b="0"/>
          <wp:wrapTight wrapText="bothSides">
            <wp:wrapPolygon edited="0">
              <wp:start x="0" y="0"/>
              <wp:lineTo x="0" y="21016"/>
              <wp:lineTo x="21391" y="21016"/>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77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eastAsia="Calibri" w:hAnsi="Garamond" w:cs="Times New Roman"/>
        <w:b/>
        <w:sz w:val="24"/>
        <w:szCs w:val="24"/>
      </w:rPr>
      <w:t>231 W. Hancock St.</w:t>
    </w:r>
    <w:r w:rsidRPr="006A2222">
      <w:rPr>
        <w:rFonts w:ascii="Garamond" w:eastAsia="Calibri" w:hAnsi="Garamond" w:cs="Times New Roman"/>
        <w:b/>
        <w:sz w:val="24"/>
        <w:szCs w:val="24"/>
      </w:rPr>
      <w:br/>
      <w:t>Milledgeville, GA 31061-0490</w:t>
    </w:r>
    <w:r w:rsidRPr="006A2222">
      <w:rPr>
        <w:rFonts w:ascii="Garamond" w:eastAsia="Calibri" w:hAnsi="Garamond" w:cs="Times New Roman"/>
        <w:b/>
        <w:sz w:val="24"/>
        <w:szCs w:val="24"/>
      </w:rPr>
      <w:br/>
      <w:t>Phone (478) 445-</w:t>
    </w:r>
    <w:r>
      <w:rPr>
        <w:rFonts w:ascii="Garamond" w:eastAsia="Calibri" w:hAnsi="Garamond" w:cs="Times New Roman"/>
        <w:b/>
        <w:sz w:val="24"/>
        <w:szCs w:val="24"/>
      </w:rPr>
      <w:t>5004</w:t>
    </w:r>
    <w:r w:rsidRPr="006A2222">
      <w:rPr>
        <w:rFonts w:ascii="Garamond" w:eastAsia="Calibri" w:hAnsi="Garamond" w:cs="Times New Roman"/>
        <w:b/>
        <w:szCs w:val="24"/>
      </w:rPr>
      <w:br/>
    </w:r>
  </w:p>
  <w:p w14:paraId="7FAC40D2" w14:textId="77777777" w:rsidR="00C35ED1" w:rsidRDefault="00C3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47B"/>
    <w:multiLevelType w:val="multilevel"/>
    <w:tmpl w:val="D5A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2BC9"/>
    <w:multiLevelType w:val="multilevel"/>
    <w:tmpl w:val="FC2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C3F2D"/>
    <w:multiLevelType w:val="multilevel"/>
    <w:tmpl w:val="CB50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C11D5"/>
    <w:multiLevelType w:val="multilevel"/>
    <w:tmpl w:val="A8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102269">
    <w:abstractNumId w:val="2"/>
  </w:num>
  <w:num w:numId="2" w16cid:durableId="1722710008">
    <w:abstractNumId w:val="3"/>
  </w:num>
  <w:num w:numId="3" w16cid:durableId="1213537104">
    <w:abstractNumId w:val="1"/>
  </w:num>
  <w:num w:numId="4" w16cid:durableId="191208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86"/>
    <w:rsid w:val="0002474F"/>
    <w:rsid w:val="00046235"/>
    <w:rsid w:val="0023431B"/>
    <w:rsid w:val="00257808"/>
    <w:rsid w:val="00330BA0"/>
    <w:rsid w:val="00333456"/>
    <w:rsid w:val="00397456"/>
    <w:rsid w:val="00406CFF"/>
    <w:rsid w:val="00462F2C"/>
    <w:rsid w:val="004662B8"/>
    <w:rsid w:val="0051206E"/>
    <w:rsid w:val="00577455"/>
    <w:rsid w:val="00584157"/>
    <w:rsid w:val="005F3013"/>
    <w:rsid w:val="0060069D"/>
    <w:rsid w:val="00693211"/>
    <w:rsid w:val="00750B63"/>
    <w:rsid w:val="00817FE6"/>
    <w:rsid w:val="00906986"/>
    <w:rsid w:val="009A6F0B"/>
    <w:rsid w:val="009B335C"/>
    <w:rsid w:val="00A11BE1"/>
    <w:rsid w:val="00A23568"/>
    <w:rsid w:val="00A34917"/>
    <w:rsid w:val="00A475C3"/>
    <w:rsid w:val="00B30C00"/>
    <w:rsid w:val="00B31ECA"/>
    <w:rsid w:val="00B55D7A"/>
    <w:rsid w:val="00BC714D"/>
    <w:rsid w:val="00BF355D"/>
    <w:rsid w:val="00C14543"/>
    <w:rsid w:val="00C35ED1"/>
    <w:rsid w:val="00C7283A"/>
    <w:rsid w:val="00C755DA"/>
    <w:rsid w:val="00CF2B0B"/>
    <w:rsid w:val="00D15AF2"/>
    <w:rsid w:val="00D3181A"/>
    <w:rsid w:val="00D34AE8"/>
    <w:rsid w:val="00D67EB4"/>
    <w:rsid w:val="00DC2E30"/>
    <w:rsid w:val="00E12513"/>
    <w:rsid w:val="00E4755E"/>
    <w:rsid w:val="00F6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1218"/>
  <w15:chartTrackingRefBased/>
  <w15:docId w15:val="{96DC8B2F-1655-45A2-86DA-4F4A3EC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6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69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6986"/>
    <w:rPr>
      <w:color w:val="0000FF"/>
      <w:u w:val="single"/>
    </w:rPr>
  </w:style>
  <w:style w:type="character" w:customStyle="1" w:styleId="expandable">
    <w:name w:val="expandable"/>
    <w:basedOn w:val="DefaultParagraphFont"/>
    <w:rsid w:val="00906986"/>
  </w:style>
  <w:style w:type="character" w:customStyle="1" w:styleId="mclaunchpad">
    <w:name w:val="mc_launch_pad"/>
    <w:basedOn w:val="DefaultParagraphFont"/>
    <w:rsid w:val="00906986"/>
  </w:style>
  <w:style w:type="character" w:customStyle="1" w:styleId="mclink">
    <w:name w:val="mc_link"/>
    <w:basedOn w:val="DefaultParagraphFont"/>
    <w:rsid w:val="00906986"/>
  </w:style>
  <w:style w:type="character" w:customStyle="1" w:styleId="print">
    <w:name w:val="print"/>
    <w:basedOn w:val="DefaultParagraphFont"/>
    <w:rsid w:val="00906986"/>
  </w:style>
  <w:style w:type="paragraph" w:customStyle="1" w:styleId="sc-bodytext">
    <w:name w:val="sc-bodytext"/>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986"/>
    <w:rPr>
      <w:b/>
      <w:bCs/>
    </w:rPr>
  </w:style>
  <w:style w:type="paragraph" w:customStyle="1" w:styleId="sc-bodytextns">
    <w:name w:val="sc-bodytextns"/>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986"/>
    <w:rPr>
      <w:i/>
      <w:iCs/>
    </w:rPr>
  </w:style>
  <w:style w:type="paragraph" w:customStyle="1" w:styleId="sc-listcontinue">
    <w:name w:val="sc-listcontinue"/>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4"/>
    <w:rPr>
      <w:rFonts w:ascii="Segoe UI" w:hAnsi="Segoe UI" w:cs="Segoe UI"/>
      <w:sz w:val="18"/>
      <w:szCs w:val="18"/>
    </w:rPr>
  </w:style>
  <w:style w:type="paragraph" w:styleId="Footer">
    <w:name w:val="footer"/>
    <w:basedOn w:val="Normal"/>
    <w:link w:val="FooterChar"/>
    <w:uiPriority w:val="99"/>
    <w:unhideWhenUsed/>
    <w:rsid w:val="0046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2C"/>
  </w:style>
  <w:style w:type="paragraph" w:styleId="Header">
    <w:name w:val="header"/>
    <w:basedOn w:val="Normal"/>
    <w:link w:val="HeaderChar"/>
    <w:uiPriority w:val="99"/>
    <w:unhideWhenUsed/>
    <w:rsid w:val="00C3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D1"/>
  </w:style>
  <w:style w:type="character" w:styleId="UnresolvedMention">
    <w:name w:val="Unresolved Mention"/>
    <w:basedOn w:val="DefaultParagraphFont"/>
    <w:uiPriority w:val="99"/>
    <w:semiHidden/>
    <w:unhideWhenUsed/>
    <w:rsid w:val="00A4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951358">
      <w:bodyDiv w:val="1"/>
      <w:marLeft w:val="0"/>
      <w:marRight w:val="0"/>
      <w:marTop w:val="0"/>
      <w:marBottom w:val="0"/>
      <w:divBdr>
        <w:top w:val="none" w:sz="0" w:space="0" w:color="auto"/>
        <w:left w:val="none" w:sz="0" w:space="0" w:color="auto"/>
        <w:bottom w:val="none" w:sz="0" w:space="0" w:color="auto"/>
        <w:right w:val="none" w:sz="0" w:space="0" w:color="auto"/>
      </w:divBdr>
      <w:divsChild>
        <w:div w:id="247155999">
          <w:marLeft w:val="0"/>
          <w:marRight w:val="0"/>
          <w:marTop w:val="600"/>
          <w:marBottom w:val="0"/>
          <w:divBdr>
            <w:top w:val="none" w:sz="0" w:space="0" w:color="auto"/>
            <w:left w:val="none" w:sz="0" w:space="0" w:color="auto"/>
            <w:bottom w:val="none" w:sz="0" w:space="0" w:color="auto"/>
            <w:right w:val="none" w:sz="0" w:space="0" w:color="auto"/>
          </w:divBdr>
        </w:div>
        <w:div w:id="997851854">
          <w:marLeft w:val="0"/>
          <w:marRight w:val="0"/>
          <w:marTop w:val="0"/>
          <w:marBottom w:val="0"/>
          <w:divBdr>
            <w:top w:val="none" w:sz="0" w:space="0" w:color="auto"/>
            <w:left w:val="none" w:sz="0" w:space="0" w:color="auto"/>
            <w:bottom w:val="none" w:sz="0" w:space="0" w:color="auto"/>
            <w:right w:val="none" w:sz="0" w:space="0" w:color="auto"/>
          </w:divBdr>
          <w:divsChild>
            <w:div w:id="908421964">
              <w:marLeft w:val="0"/>
              <w:marRight w:val="0"/>
              <w:marTop w:val="0"/>
              <w:marBottom w:val="0"/>
              <w:divBdr>
                <w:top w:val="none" w:sz="0" w:space="0" w:color="auto"/>
                <w:left w:val="none" w:sz="0" w:space="0" w:color="auto"/>
                <w:bottom w:val="none" w:sz="0" w:space="0" w:color="auto"/>
                <w:right w:val="none" w:sz="0" w:space="0" w:color="auto"/>
              </w:divBdr>
              <w:divsChild>
                <w:div w:id="875847208">
                  <w:marLeft w:val="0"/>
                  <w:marRight w:val="0"/>
                  <w:marTop w:val="225"/>
                  <w:marBottom w:val="0"/>
                  <w:divBdr>
                    <w:top w:val="none" w:sz="0" w:space="0" w:color="auto"/>
                    <w:left w:val="none" w:sz="0" w:space="0" w:color="auto"/>
                    <w:bottom w:val="none" w:sz="0" w:space="0" w:color="auto"/>
                    <w:right w:val="none" w:sz="0" w:space="0" w:color="auto"/>
                  </w:divBdr>
                  <w:divsChild>
                    <w:div w:id="1234387198">
                      <w:marLeft w:val="0"/>
                      <w:marRight w:val="0"/>
                      <w:marTop w:val="0"/>
                      <w:marBottom w:val="30"/>
                      <w:divBdr>
                        <w:top w:val="none" w:sz="0" w:space="0" w:color="auto"/>
                        <w:left w:val="none" w:sz="0" w:space="0" w:color="auto"/>
                        <w:bottom w:val="none" w:sz="0" w:space="0" w:color="auto"/>
                        <w:right w:val="none" w:sz="0" w:space="0" w:color="auto"/>
                      </w:divBdr>
                    </w:div>
                    <w:div w:id="623999770">
                      <w:marLeft w:val="0"/>
                      <w:marRight w:val="0"/>
                      <w:marTop w:val="0"/>
                      <w:marBottom w:val="0"/>
                      <w:divBdr>
                        <w:top w:val="none" w:sz="0" w:space="0" w:color="auto"/>
                        <w:left w:val="none" w:sz="0" w:space="0" w:color="auto"/>
                        <w:bottom w:val="none" w:sz="0" w:space="0" w:color="auto"/>
                        <w:right w:val="none" w:sz="0" w:space="0" w:color="auto"/>
                      </w:divBdr>
                      <w:divsChild>
                        <w:div w:id="165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41">
              <w:marLeft w:val="0"/>
              <w:marRight w:val="0"/>
              <w:marTop w:val="225"/>
              <w:marBottom w:val="0"/>
              <w:divBdr>
                <w:top w:val="none" w:sz="0" w:space="0" w:color="auto"/>
                <w:left w:val="none" w:sz="0" w:space="0" w:color="auto"/>
                <w:bottom w:val="none" w:sz="0" w:space="0" w:color="auto"/>
                <w:right w:val="none" w:sz="0" w:space="0" w:color="auto"/>
              </w:divBdr>
              <w:divsChild>
                <w:div w:id="1890919202">
                  <w:marLeft w:val="0"/>
                  <w:marRight w:val="0"/>
                  <w:marTop w:val="0"/>
                  <w:marBottom w:val="30"/>
                  <w:divBdr>
                    <w:top w:val="none" w:sz="0" w:space="0" w:color="auto"/>
                    <w:left w:val="none" w:sz="0" w:space="0" w:color="auto"/>
                    <w:bottom w:val="none" w:sz="0" w:space="0" w:color="auto"/>
                    <w:right w:val="none" w:sz="0" w:space="0" w:color="auto"/>
                  </w:divBdr>
                </w:div>
              </w:divsChild>
            </w:div>
            <w:div w:id="2061587010">
              <w:marLeft w:val="0"/>
              <w:marRight w:val="0"/>
              <w:marTop w:val="0"/>
              <w:marBottom w:val="0"/>
              <w:divBdr>
                <w:top w:val="none" w:sz="0" w:space="0" w:color="auto"/>
                <w:left w:val="none" w:sz="0" w:space="0" w:color="auto"/>
                <w:bottom w:val="none" w:sz="0" w:space="0" w:color="auto"/>
                <w:right w:val="none" w:sz="0" w:space="0" w:color="auto"/>
              </w:divBdr>
              <w:divsChild>
                <w:div w:id="1842231256">
                  <w:marLeft w:val="0"/>
                  <w:marRight w:val="0"/>
                  <w:marTop w:val="225"/>
                  <w:marBottom w:val="0"/>
                  <w:divBdr>
                    <w:top w:val="none" w:sz="0" w:space="0" w:color="auto"/>
                    <w:left w:val="none" w:sz="0" w:space="0" w:color="auto"/>
                    <w:bottom w:val="none" w:sz="0" w:space="0" w:color="auto"/>
                    <w:right w:val="none" w:sz="0" w:space="0" w:color="auto"/>
                  </w:divBdr>
                  <w:divsChild>
                    <w:div w:id="1773894337">
                      <w:marLeft w:val="0"/>
                      <w:marRight w:val="0"/>
                      <w:marTop w:val="225"/>
                      <w:marBottom w:val="0"/>
                      <w:divBdr>
                        <w:top w:val="none" w:sz="0" w:space="0" w:color="auto"/>
                        <w:left w:val="none" w:sz="0" w:space="0" w:color="auto"/>
                        <w:bottom w:val="none" w:sz="0" w:space="0" w:color="auto"/>
                        <w:right w:val="none" w:sz="0" w:space="0" w:color="auto"/>
                      </w:divBdr>
                      <w:divsChild>
                        <w:div w:id="276254537">
                          <w:marLeft w:val="0"/>
                          <w:marRight w:val="0"/>
                          <w:marTop w:val="0"/>
                          <w:marBottom w:val="30"/>
                          <w:divBdr>
                            <w:top w:val="none" w:sz="0" w:space="0" w:color="auto"/>
                            <w:left w:val="none" w:sz="0" w:space="0" w:color="auto"/>
                            <w:bottom w:val="none" w:sz="0" w:space="0" w:color="auto"/>
                            <w:right w:val="none" w:sz="0" w:space="0" w:color="auto"/>
                          </w:divBdr>
                        </w:div>
                        <w:div w:id="252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73">
          <w:marLeft w:val="0"/>
          <w:marRight w:val="0"/>
          <w:marTop w:val="0"/>
          <w:marBottom w:val="0"/>
          <w:divBdr>
            <w:top w:val="none" w:sz="0" w:space="0" w:color="auto"/>
            <w:left w:val="none" w:sz="0" w:space="0" w:color="auto"/>
            <w:bottom w:val="none" w:sz="0" w:space="0" w:color="auto"/>
            <w:right w:val="none" w:sz="0" w:space="0" w:color="auto"/>
          </w:divBdr>
          <w:divsChild>
            <w:div w:id="612442669">
              <w:marLeft w:val="0"/>
              <w:marRight w:val="0"/>
              <w:marTop w:val="0"/>
              <w:marBottom w:val="0"/>
              <w:divBdr>
                <w:top w:val="none" w:sz="0" w:space="0" w:color="auto"/>
                <w:left w:val="none" w:sz="0" w:space="0" w:color="auto"/>
                <w:bottom w:val="none" w:sz="0" w:space="0" w:color="auto"/>
                <w:right w:val="none" w:sz="0" w:space="0" w:color="auto"/>
              </w:divBdr>
              <w:divsChild>
                <w:div w:id="1179655404">
                  <w:marLeft w:val="150"/>
                  <w:marRight w:val="0"/>
                  <w:marTop w:val="0"/>
                  <w:marBottom w:val="0"/>
                  <w:divBdr>
                    <w:top w:val="none" w:sz="0" w:space="0" w:color="auto"/>
                    <w:left w:val="none" w:sz="0" w:space="0" w:color="auto"/>
                    <w:bottom w:val="none" w:sz="0" w:space="0" w:color="auto"/>
                    <w:right w:val="none" w:sz="0" w:space="0" w:color="auto"/>
                  </w:divBdr>
                  <w:divsChild>
                    <w:div w:id="961615318">
                      <w:marLeft w:val="0"/>
                      <w:marRight w:val="0"/>
                      <w:marTop w:val="0"/>
                      <w:marBottom w:val="0"/>
                      <w:divBdr>
                        <w:top w:val="none" w:sz="0" w:space="0" w:color="auto"/>
                        <w:left w:val="none" w:sz="0" w:space="0" w:color="auto"/>
                        <w:bottom w:val="none" w:sz="0" w:space="0" w:color="auto"/>
                        <w:right w:val="none" w:sz="0" w:space="0" w:color="auto"/>
                      </w:divBdr>
                      <w:divsChild>
                        <w:div w:id="1724717583">
                          <w:marLeft w:val="0"/>
                          <w:marRight w:val="0"/>
                          <w:marTop w:val="0"/>
                          <w:marBottom w:val="0"/>
                          <w:divBdr>
                            <w:top w:val="none" w:sz="0" w:space="0" w:color="auto"/>
                            <w:left w:val="none" w:sz="0" w:space="0" w:color="auto"/>
                            <w:bottom w:val="none" w:sz="0" w:space="0" w:color="auto"/>
                            <w:right w:val="none" w:sz="0" w:space="0" w:color="auto"/>
                          </w:divBdr>
                          <w:divsChild>
                            <w:div w:id="491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73">
              <w:marLeft w:val="0"/>
              <w:marRight w:val="0"/>
              <w:marTop w:val="0"/>
              <w:marBottom w:val="0"/>
              <w:divBdr>
                <w:top w:val="none" w:sz="0" w:space="0" w:color="auto"/>
                <w:left w:val="none" w:sz="0" w:space="0" w:color="auto"/>
                <w:bottom w:val="none" w:sz="0" w:space="0" w:color="auto"/>
                <w:right w:val="none" w:sz="0" w:space="0" w:color="auto"/>
              </w:divBdr>
              <w:divsChild>
                <w:div w:id="10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Govern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su.smartcatalogiq.com/en/Policy-Manual/Policy-Manual/Academic-Affai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4" Type="http://schemas.openxmlformats.org/officeDocument/2006/relationships/webSettings" Target="webSettings.xml"/><Relationship Id="rId9" Type="http://schemas.openxmlformats.org/officeDocument/2006/relationships/hyperlink" Target="https://gcsu.smartcatalogiq.com/policy-manual/policy-manual/academic-affairs/employmentpolicies-procedures-benefits/performance-evaluations-administrators-and-faculty/faculty-performance-evaluation/faculty-review-system-philosophy-and-general-procedu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simmons</dc:creator>
  <cp:keywords/>
  <dc:description/>
  <cp:lastModifiedBy>stephanie jett</cp:lastModifiedBy>
  <cp:revision>13</cp:revision>
  <cp:lastPrinted>2018-04-23T20:18:00Z</cp:lastPrinted>
  <dcterms:created xsi:type="dcterms:W3CDTF">2024-02-14T22:46:00Z</dcterms:created>
  <dcterms:modified xsi:type="dcterms:W3CDTF">2024-02-15T15:26:00Z</dcterms:modified>
</cp:coreProperties>
</file>