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852C7F">
        <w:rPr>
          <w:bCs/>
          <w:smallCaps/>
          <w:sz w:val="28"/>
          <w:szCs w:val="28"/>
        </w:rPr>
        <w:t>2 Dec</w:t>
      </w:r>
      <w:r w:rsidR="00C90D05">
        <w:rPr>
          <w:bCs/>
          <w:smallCaps/>
          <w:sz w:val="28"/>
          <w:szCs w:val="28"/>
        </w:rPr>
        <w:t>em</w:t>
      </w:r>
      <w:r w:rsidR="00D96394">
        <w:rPr>
          <w:bCs/>
          <w:smallCaps/>
          <w:sz w:val="28"/>
          <w:szCs w:val="28"/>
        </w:rPr>
        <w:t>ber</w:t>
      </w:r>
      <w:r w:rsidR="00647006">
        <w:rPr>
          <w:bCs/>
          <w:smallCaps/>
          <w:sz w:val="28"/>
          <w:szCs w:val="28"/>
        </w:rPr>
        <w:t xml:space="preserve"> </w:t>
      </w:r>
      <w:r w:rsidR="00973B2D">
        <w:rPr>
          <w:bCs/>
          <w:smallCaps/>
          <w:sz w:val="28"/>
          <w:szCs w:val="28"/>
        </w:rPr>
        <w:t>201</w:t>
      </w:r>
      <w:r w:rsidR="00D70B94">
        <w:rPr>
          <w:bCs/>
          <w:smallCaps/>
          <w:sz w:val="28"/>
          <w:szCs w:val="28"/>
        </w:rPr>
        <w:t>6</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E84A40">
        <w:rPr>
          <w:bCs/>
          <w:smallCaps/>
          <w:sz w:val="28"/>
          <w:szCs w:val="28"/>
        </w:rPr>
        <w:t>Terrell Hall</w:t>
      </w:r>
      <w:r w:rsidR="00D25BF5">
        <w:rPr>
          <w:bCs/>
          <w:smallCaps/>
          <w:sz w:val="28"/>
          <w:szCs w:val="28"/>
        </w:rPr>
        <w:t xml:space="preserve">, Room </w:t>
      </w:r>
      <w:r w:rsidR="00E84A40">
        <w:rPr>
          <w:bCs/>
          <w:smallCaps/>
          <w:sz w:val="28"/>
          <w:szCs w:val="28"/>
        </w:rPr>
        <w:t>114</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E5378B" w:rsidTr="00B37796">
        <w:trPr>
          <w:trHeight w:val="243"/>
        </w:trPr>
        <w:tc>
          <w:tcPr>
            <w:tcW w:w="720" w:type="dxa"/>
            <w:tcBorders>
              <w:top w:val="thinThickSmallGap" w:sz="24" w:space="0" w:color="auto"/>
            </w:tcBorders>
            <w:vAlign w:val="center"/>
          </w:tcPr>
          <w:p w:rsidR="00E5378B" w:rsidRPr="006711DF" w:rsidRDefault="00852C7F"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F3B74" w:rsidP="00EF3B74">
            <w:r>
              <w:t>Alex Blazer (CoAS, FAPC Chair)</w:t>
            </w:r>
          </w:p>
        </w:tc>
        <w:tc>
          <w:tcPr>
            <w:tcW w:w="540" w:type="dxa"/>
            <w:tcBorders>
              <w:top w:val="thinThickSmallGap" w:sz="24" w:space="0" w:color="auto"/>
            </w:tcBorders>
            <w:vAlign w:val="center"/>
          </w:tcPr>
          <w:p w:rsidR="00E5378B" w:rsidRPr="006711DF" w:rsidRDefault="00DF1183"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F3B74" w:rsidP="00E5378B">
            <w:r>
              <w:t>Carol Sapp (CoHS,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(CoAS, RPIPC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Costas Spirou (Interim Provost)</w:t>
            </w:r>
          </w:p>
        </w:tc>
      </w:tr>
      <w:tr w:rsidR="00EF3B74" w:rsidTr="00B37796">
        <w:trPr>
          <w:trHeight w:val="161"/>
        </w:trPr>
        <w:tc>
          <w:tcPr>
            <w:tcW w:w="720" w:type="dxa"/>
            <w:vAlign w:val="center"/>
          </w:tcPr>
          <w:p w:rsidR="00EF3B74" w:rsidRPr="006711DF" w:rsidRDefault="00852C7F" w:rsidP="00EF3B74">
            <w:pPr>
              <w:rPr>
                <w:sz w:val="36"/>
                <w:szCs w:val="36"/>
              </w:rPr>
            </w:pPr>
            <w:r>
              <w:rPr>
                <w:sz w:val="36"/>
                <w:szCs w:val="36"/>
              </w:rPr>
              <w:t xml:space="preserve">R </w:t>
            </w:r>
          </w:p>
        </w:tc>
        <w:tc>
          <w:tcPr>
            <w:tcW w:w="6120" w:type="dxa"/>
            <w:vAlign w:val="center"/>
          </w:tcPr>
          <w:p w:rsidR="00EF3B74" w:rsidRPr="00055C26" w:rsidRDefault="00EF3B74" w:rsidP="00EF3B74">
            <w:r>
              <w:t>Nicole DeClouette (CoE, ECUS Vice-Chair)</w:t>
            </w:r>
          </w:p>
        </w:tc>
        <w:tc>
          <w:tcPr>
            <w:tcW w:w="540" w:type="dxa"/>
            <w:vAlign w:val="center"/>
          </w:tcPr>
          <w:p w:rsidR="00EF3B74" w:rsidRPr="006711DF" w:rsidRDefault="00852C7F" w:rsidP="00EF3B74">
            <w:pPr>
              <w:rPr>
                <w:sz w:val="36"/>
                <w:szCs w:val="36"/>
              </w:rPr>
            </w:pPr>
            <w:r>
              <w:rPr>
                <w:sz w:val="36"/>
                <w:szCs w:val="36"/>
              </w:rPr>
              <w:t>R</w:t>
            </w:r>
          </w:p>
        </w:tc>
        <w:tc>
          <w:tcPr>
            <w:tcW w:w="6660" w:type="dxa"/>
            <w:vAlign w:val="center"/>
          </w:tcPr>
          <w:p w:rsidR="00EF3B74" w:rsidRPr="00055C26" w:rsidRDefault="00EF3B74" w:rsidP="00EF3B74">
            <w:r>
              <w:t>Susan Steele (CoHS, ECUS Chair Emeritus)</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John R. Swinton (CoB, ECUS Chair)</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(CoHS,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(CoAS, ECUS Secretary)</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Chavonda Mills (CoAS, ECUS Vice-Chair)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r>
              <w:t>Shaundra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Lyndall Muschell (CoE,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9"/>
            </w:tblGrid>
            <w:tr w:rsidR="002C43CF" w:rsidTr="00BE2805">
              <w:trPr>
                <w:tblCellSpacing w:w="15" w:type="dxa"/>
              </w:trPr>
              <w:tc>
                <w:tcPr>
                  <w:tcW w:w="4179" w:type="dxa"/>
                </w:tcPr>
                <w:p w:rsidR="002C43CF" w:rsidRDefault="00BE2805" w:rsidP="00E84A40">
                  <w:r>
                    <w:t>Mary Magoulick ( SoCC 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CF6CE7" w:rsidP="005E0947">
            <w:pPr>
              <w:jc w:val="both"/>
            </w:pPr>
            <w:r w:rsidRPr="0037381E">
              <w:t xml:space="preserve">The meeting was called to order at </w:t>
            </w:r>
            <w:r>
              <w:t>3</w:t>
            </w:r>
            <w:r w:rsidRPr="0037381E">
              <w:t>:</w:t>
            </w:r>
            <w:r>
              <w:t>3</w:t>
            </w:r>
            <w:r w:rsidR="005E0947">
              <w:t>1</w:t>
            </w:r>
            <w:r w:rsidRPr="0037381E">
              <w:t xml:space="preserve"> pm by </w:t>
            </w:r>
            <w:r>
              <w:t>Chavonda Mills</w:t>
            </w:r>
            <w:r w:rsidRPr="0037381E">
              <w:t xml:space="preserve"> (Chair)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t>III. Approval of Minutes</w:t>
            </w:r>
          </w:p>
        </w:tc>
        <w:tc>
          <w:tcPr>
            <w:tcW w:w="4586" w:type="dxa"/>
          </w:tcPr>
          <w:p w:rsidR="00857A0F" w:rsidRPr="0037381E" w:rsidRDefault="00857A0F" w:rsidP="0027349A">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27349A">
              <w:rPr>
                <w:i/>
              </w:rPr>
              <w:t>4 Nov</w:t>
            </w:r>
            <w:r>
              <w:rPr>
                <w:i/>
              </w:rPr>
              <w:t xml:space="preserve"> 2016 meeting of the Executive Committee</w:t>
            </w:r>
            <w:r>
              <w:t xml:space="preserve"> </w:t>
            </w:r>
            <w:r w:rsidRPr="00324D96">
              <w:rPr>
                <w:i/>
              </w:rPr>
              <w:lastRenderedPageBreak/>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857A0F" w:rsidRPr="0037381E" w:rsidRDefault="00857A0F" w:rsidP="0027349A">
            <w:pPr>
              <w:jc w:val="both"/>
            </w:pPr>
            <w:r w:rsidRPr="0037381E">
              <w:lastRenderedPageBreak/>
              <w:t xml:space="preserve">The </w:t>
            </w:r>
            <w:r w:rsidR="0027349A">
              <w:t>4 Nov</w:t>
            </w:r>
            <w:r>
              <w:t xml:space="preserve"> 2016</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66E17" w:rsidRDefault="00EF3B74" w:rsidP="00C75940">
            <w:pPr>
              <w:tabs>
                <w:tab w:val="left" w:pos="0"/>
              </w:tabs>
              <w:rPr>
                <w:b/>
                <w:bCs/>
              </w:rPr>
            </w:pPr>
            <w:r>
              <w:rPr>
                <w:b/>
                <w:bCs/>
              </w:rPr>
              <w:t>Interim Provost Spirou</w:t>
            </w:r>
          </w:p>
        </w:tc>
        <w:tc>
          <w:tcPr>
            <w:tcW w:w="4586" w:type="dxa"/>
          </w:tcPr>
          <w:p w:rsidR="0074326A" w:rsidRPr="0074326A" w:rsidRDefault="0074326A" w:rsidP="001F104D">
            <w:pPr>
              <w:pStyle w:val="ListParagraph"/>
              <w:numPr>
                <w:ilvl w:val="0"/>
                <w:numId w:val="23"/>
              </w:numPr>
              <w:ind w:left="248"/>
              <w:jc w:val="both"/>
              <w:rPr>
                <w:color w:val="000000" w:themeColor="text1"/>
                <w:u w:val="single"/>
              </w:rPr>
            </w:pPr>
            <w:r w:rsidRPr="0074326A">
              <w:rPr>
                <w:b/>
                <w:color w:val="000000" w:themeColor="text1"/>
                <w:u w:val="single"/>
              </w:rPr>
              <w:t>Professional Leave</w:t>
            </w:r>
            <w:r w:rsidRPr="0074326A">
              <w:rPr>
                <w:color w:val="000000" w:themeColor="text1"/>
              </w:rPr>
              <w:t xml:space="preserve"> The recipients of the 2017-2018 Professional Leaves were notified by the Office of the Provost on 1 Dec 2016.</w:t>
            </w:r>
          </w:p>
          <w:p w:rsidR="0074326A" w:rsidRPr="0074326A" w:rsidRDefault="0074326A" w:rsidP="001F104D">
            <w:pPr>
              <w:pStyle w:val="ListParagraph"/>
              <w:numPr>
                <w:ilvl w:val="0"/>
                <w:numId w:val="23"/>
              </w:numPr>
              <w:ind w:left="248"/>
              <w:jc w:val="both"/>
              <w:rPr>
                <w:color w:val="000000" w:themeColor="text1"/>
                <w:u w:val="single"/>
              </w:rPr>
            </w:pPr>
            <w:r>
              <w:rPr>
                <w:b/>
                <w:color w:val="000000" w:themeColor="text1"/>
                <w:u w:val="single"/>
              </w:rPr>
              <w:t>BoR Awards</w:t>
            </w:r>
            <w:r w:rsidRPr="0074326A">
              <w:rPr>
                <w:color w:val="000000" w:themeColor="text1"/>
              </w:rPr>
              <w:t xml:space="preserve"> GC nominated the following for </w:t>
            </w:r>
            <w:r>
              <w:rPr>
                <w:color w:val="000000" w:themeColor="text1"/>
              </w:rPr>
              <w:t>Board of Regents (</w:t>
            </w:r>
            <w:r w:rsidRPr="0074326A">
              <w:rPr>
                <w:color w:val="000000" w:themeColor="text1"/>
              </w:rPr>
              <w:t>BoR</w:t>
            </w:r>
            <w:r>
              <w:rPr>
                <w:color w:val="000000" w:themeColor="text1"/>
              </w:rPr>
              <w:t>)</w:t>
            </w:r>
            <w:r w:rsidRPr="0074326A">
              <w:rPr>
                <w:color w:val="000000" w:themeColor="text1"/>
              </w:rPr>
              <w:t xml:space="preserve"> Awards</w:t>
            </w:r>
            <w:r w:rsidR="00BF0003">
              <w:rPr>
                <w:color w:val="000000" w:themeColor="text1"/>
              </w:rPr>
              <w:t>.</w:t>
            </w:r>
          </w:p>
          <w:p w:rsidR="0074326A" w:rsidRPr="0074326A" w:rsidRDefault="0074326A" w:rsidP="0074326A">
            <w:pPr>
              <w:pStyle w:val="ListParagraph"/>
              <w:numPr>
                <w:ilvl w:val="1"/>
                <w:numId w:val="23"/>
              </w:numPr>
              <w:ind w:left="698"/>
              <w:jc w:val="both"/>
              <w:rPr>
                <w:color w:val="000000" w:themeColor="text1"/>
                <w:u w:val="single"/>
              </w:rPr>
            </w:pPr>
            <w:r w:rsidRPr="0074326A">
              <w:rPr>
                <w:b/>
                <w:color w:val="000000" w:themeColor="text1"/>
              </w:rPr>
              <w:t>Dr. Cynthia Alby</w:t>
            </w:r>
            <w:r w:rsidRPr="0074326A">
              <w:rPr>
                <w:color w:val="000000" w:themeColor="text1"/>
              </w:rPr>
              <w:t xml:space="preserve"> was nominated for the Faculty Award for Excellence in </w:t>
            </w:r>
            <w:r w:rsidR="00BF0003">
              <w:rPr>
                <w:color w:val="000000" w:themeColor="text1"/>
              </w:rPr>
              <w:t xml:space="preserve">the </w:t>
            </w:r>
            <w:r w:rsidRPr="0074326A">
              <w:rPr>
                <w:color w:val="000000" w:themeColor="text1"/>
              </w:rPr>
              <w:t>Scholarship of Teaching and Learning.</w:t>
            </w:r>
          </w:p>
          <w:p w:rsidR="0074326A" w:rsidRPr="0074326A" w:rsidRDefault="0074326A" w:rsidP="0074326A">
            <w:pPr>
              <w:pStyle w:val="ListParagraph"/>
              <w:numPr>
                <w:ilvl w:val="1"/>
                <w:numId w:val="23"/>
              </w:numPr>
              <w:ind w:left="698"/>
              <w:jc w:val="both"/>
              <w:rPr>
                <w:color w:val="000000" w:themeColor="text1"/>
                <w:u w:val="single"/>
              </w:rPr>
            </w:pPr>
            <w:r w:rsidRPr="0074326A">
              <w:rPr>
                <w:b/>
                <w:color w:val="000000" w:themeColor="text1"/>
              </w:rPr>
              <w:t>Matt Roessing</w:t>
            </w:r>
            <w:r w:rsidRPr="0074326A">
              <w:rPr>
                <w:color w:val="000000" w:themeColor="text1"/>
              </w:rPr>
              <w:t xml:space="preserve"> was nominated for the Felton Jenkins, Jr. Hall of Fame Award.</w:t>
            </w:r>
          </w:p>
          <w:p w:rsidR="0074326A" w:rsidRPr="0074326A" w:rsidRDefault="0074326A" w:rsidP="0074326A">
            <w:pPr>
              <w:pStyle w:val="ListParagraph"/>
              <w:numPr>
                <w:ilvl w:val="1"/>
                <w:numId w:val="23"/>
              </w:numPr>
              <w:ind w:left="698"/>
              <w:jc w:val="both"/>
              <w:rPr>
                <w:color w:val="000000" w:themeColor="text1"/>
                <w:u w:val="single"/>
              </w:rPr>
            </w:pPr>
            <w:r w:rsidRPr="0074326A">
              <w:rPr>
                <w:b/>
                <w:color w:val="000000" w:themeColor="text1"/>
              </w:rPr>
              <w:t>The Department of Accounting</w:t>
            </w:r>
            <w:r w:rsidRPr="0074326A">
              <w:rPr>
                <w:color w:val="000000" w:themeColor="text1"/>
              </w:rPr>
              <w:t xml:space="preserve"> was nominated for the Department Excellence Award.</w:t>
            </w:r>
          </w:p>
          <w:p w:rsidR="0074326A" w:rsidRPr="0074326A" w:rsidRDefault="0074326A" w:rsidP="0074326A">
            <w:pPr>
              <w:pStyle w:val="ListParagraph"/>
              <w:numPr>
                <w:ilvl w:val="0"/>
                <w:numId w:val="23"/>
              </w:numPr>
              <w:ind w:left="248"/>
              <w:jc w:val="both"/>
              <w:rPr>
                <w:color w:val="000000" w:themeColor="text1"/>
                <w:u w:val="single"/>
              </w:rPr>
            </w:pPr>
            <w:r w:rsidRPr="0074326A">
              <w:rPr>
                <w:b/>
                <w:color w:val="000000" w:themeColor="text1"/>
                <w:u w:val="single"/>
              </w:rPr>
              <w:t>Early Action Admissions (Class of 2021)</w:t>
            </w:r>
          </w:p>
          <w:p w:rsidR="0074326A" w:rsidRDefault="0074326A" w:rsidP="0074326A">
            <w:pPr>
              <w:pStyle w:val="ListParagraph"/>
              <w:numPr>
                <w:ilvl w:val="1"/>
                <w:numId w:val="23"/>
              </w:numPr>
              <w:ind w:left="698"/>
              <w:jc w:val="both"/>
              <w:rPr>
                <w:color w:val="000000" w:themeColor="text1"/>
              </w:rPr>
            </w:pPr>
            <w:r>
              <w:rPr>
                <w:color w:val="000000" w:themeColor="text1"/>
              </w:rPr>
              <w:t xml:space="preserve">1100 </w:t>
            </w:r>
            <w:r w:rsidRPr="0074326A">
              <w:rPr>
                <w:color w:val="000000" w:themeColor="text1"/>
              </w:rPr>
              <w:t>Admitted Students (</w:t>
            </w:r>
            <w:r w:rsidR="00267795">
              <w:rPr>
                <w:color w:val="000000" w:themeColor="text1"/>
              </w:rPr>
              <w:t>s</w:t>
            </w:r>
            <w:r w:rsidRPr="0074326A">
              <w:rPr>
                <w:color w:val="000000" w:themeColor="text1"/>
              </w:rPr>
              <w:t>lightly higher than last year’s Early Action group)</w:t>
            </w:r>
          </w:p>
          <w:p w:rsidR="0074326A" w:rsidRDefault="0074326A" w:rsidP="0074326A">
            <w:pPr>
              <w:pStyle w:val="ListParagraph"/>
              <w:numPr>
                <w:ilvl w:val="1"/>
                <w:numId w:val="23"/>
              </w:numPr>
              <w:ind w:left="698"/>
              <w:jc w:val="both"/>
              <w:rPr>
                <w:color w:val="000000" w:themeColor="text1"/>
              </w:rPr>
            </w:pPr>
            <w:r w:rsidRPr="0074326A">
              <w:rPr>
                <w:color w:val="000000" w:themeColor="text1"/>
              </w:rPr>
              <w:t>3.66 Average High School GPA (.01 points higher than last year)</w:t>
            </w:r>
          </w:p>
          <w:p w:rsidR="0074326A" w:rsidRDefault="0074326A" w:rsidP="0074326A">
            <w:pPr>
              <w:pStyle w:val="ListParagraph"/>
              <w:numPr>
                <w:ilvl w:val="1"/>
                <w:numId w:val="23"/>
              </w:numPr>
              <w:ind w:left="698"/>
              <w:jc w:val="both"/>
              <w:rPr>
                <w:color w:val="000000" w:themeColor="text1"/>
              </w:rPr>
            </w:pPr>
            <w:r w:rsidRPr="0074326A">
              <w:rPr>
                <w:color w:val="000000" w:themeColor="text1"/>
              </w:rPr>
              <w:t>1235 Average SAT Score for the Old Test (16 points higher than last year)</w:t>
            </w:r>
          </w:p>
          <w:p w:rsidR="0074326A" w:rsidRDefault="0074326A" w:rsidP="0074326A">
            <w:pPr>
              <w:pStyle w:val="ListParagraph"/>
              <w:numPr>
                <w:ilvl w:val="1"/>
                <w:numId w:val="23"/>
              </w:numPr>
              <w:ind w:left="698"/>
              <w:jc w:val="both"/>
              <w:rPr>
                <w:color w:val="000000" w:themeColor="text1"/>
              </w:rPr>
            </w:pPr>
            <w:r w:rsidRPr="0074326A">
              <w:rPr>
                <w:color w:val="000000" w:themeColor="text1"/>
              </w:rPr>
              <w:t>27 Average ACT Score (No change from last year)</w:t>
            </w:r>
          </w:p>
          <w:p w:rsidR="00B06F7D" w:rsidRPr="0074326A" w:rsidRDefault="0074326A" w:rsidP="0074326A">
            <w:pPr>
              <w:pStyle w:val="ListParagraph"/>
              <w:numPr>
                <w:ilvl w:val="1"/>
                <w:numId w:val="23"/>
              </w:numPr>
              <w:ind w:left="698"/>
              <w:jc w:val="both"/>
              <w:rPr>
                <w:color w:val="000000" w:themeColor="text1"/>
              </w:rPr>
            </w:pPr>
            <w:r w:rsidRPr="0074326A">
              <w:rPr>
                <w:color w:val="000000" w:themeColor="text1"/>
              </w:rPr>
              <w:lastRenderedPageBreak/>
              <w:t>1280 Average SAT Score for the New Test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t>Executive Committee of the University Senate (ECUS)</w:t>
            </w:r>
          </w:p>
          <w:p w:rsidR="001843B9" w:rsidRPr="00293F1F" w:rsidRDefault="001843B9" w:rsidP="001843B9">
            <w:pPr>
              <w:tabs>
                <w:tab w:val="left" w:pos="0"/>
              </w:tabs>
              <w:rPr>
                <w:b/>
                <w:bCs/>
              </w:rPr>
            </w:pPr>
          </w:p>
          <w:p w:rsidR="001843B9" w:rsidRPr="00293F1F" w:rsidRDefault="00EF3B74" w:rsidP="001843B9">
            <w:pPr>
              <w:tabs>
                <w:tab w:val="left" w:pos="0"/>
              </w:tabs>
              <w:rPr>
                <w:b/>
                <w:bCs/>
              </w:rPr>
            </w:pPr>
            <w:r>
              <w:rPr>
                <w:b/>
                <w:bCs/>
              </w:rPr>
              <w:t>Chavonda Mills</w:t>
            </w:r>
          </w:p>
          <w:p w:rsidR="001843B9" w:rsidRPr="00293F1F" w:rsidRDefault="001843B9" w:rsidP="001843B9">
            <w:pPr>
              <w:tabs>
                <w:tab w:val="left" w:pos="0"/>
              </w:tabs>
              <w:rPr>
                <w:b/>
                <w:bCs/>
              </w:rPr>
            </w:pPr>
          </w:p>
        </w:tc>
        <w:tc>
          <w:tcPr>
            <w:tcW w:w="4586" w:type="dxa"/>
          </w:tcPr>
          <w:p w:rsidR="00E50A15" w:rsidRPr="002026C1" w:rsidRDefault="00E50A15" w:rsidP="00C77A5A">
            <w:pPr>
              <w:pStyle w:val="ListParagraph"/>
              <w:numPr>
                <w:ilvl w:val="0"/>
                <w:numId w:val="10"/>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to submit for </w:t>
            </w:r>
            <w:r w:rsidR="00987D28">
              <w:t>university senate</w:t>
            </w:r>
            <w:r w:rsidRPr="002026C1">
              <w:t xml:space="preserve"> consideration at its </w:t>
            </w:r>
            <w:r w:rsidR="0027349A">
              <w:t>20 Jan 2017</w:t>
            </w:r>
            <w:r w:rsidR="0037290D">
              <w:t xml:space="preserve"> meeting.</w:t>
            </w:r>
          </w:p>
          <w:p w:rsidR="00E50A15" w:rsidRPr="002026C1" w:rsidRDefault="00E50A15" w:rsidP="00C77A5A">
            <w:pPr>
              <w:pStyle w:val="ListParagraph"/>
              <w:numPr>
                <w:ilvl w:val="0"/>
                <w:numId w:val="10"/>
              </w:numPr>
              <w:spacing w:line="257" w:lineRule="auto"/>
              <w:jc w:val="both"/>
            </w:pPr>
            <w:r w:rsidRPr="002026C1">
              <w:rPr>
                <w:b/>
                <w:bCs/>
                <w:u w:val="single"/>
              </w:rPr>
              <w:t>Officers</w:t>
            </w:r>
            <w:r w:rsidRPr="002026C1">
              <w:rPr>
                <w:bCs/>
              </w:rPr>
              <w:t xml:space="preserve"> </w:t>
            </w:r>
            <w:r w:rsidRPr="00F733F8">
              <w:rPr>
                <w:bCs/>
              </w:rPr>
              <w:t>The 201</w:t>
            </w:r>
            <w:r w:rsidR="00F733F8" w:rsidRPr="00F733F8">
              <w:rPr>
                <w:bCs/>
              </w:rPr>
              <w:t>6</w:t>
            </w:r>
            <w:r w:rsidRPr="00F733F8">
              <w:rPr>
                <w:bCs/>
              </w:rPr>
              <w:t>-1</w:t>
            </w:r>
            <w:r w:rsidR="00F733F8" w:rsidRPr="00F733F8">
              <w:rPr>
                <w:bCs/>
              </w:rPr>
              <w:t>7</w:t>
            </w:r>
            <w:r w:rsidRPr="00F733F8">
              <w:rPr>
                <w:bCs/>
              </w:rPr>
              <w:t xml:space="preserve"> ECUS officers are </w:t>
            </w:r>
            <w:r w:rsidR="00F733F8" w:rsidRPr="00F733F8">
              <w:rPr>
                <w:bCs/>
              </w:rPr>
              <w:t xml:space="preserve">Chavonda Mills </w:t>
            </w:r>
            <w:r w:rsidRPr="00F733F8">
              <w:rPr>
                <w:bCs/>
              </w:rPr>
              <w:t xml:space="preserve">(Chair), </w:t>
            </w:r>
            <w:r w:rsidR="00F733F8" w:rsidRPr="00F733F8">
              <w:rPr>
                <w:bCs/>
              </w:rPr>
              <w:t xml:space="preserve">Nicole DeClouette </w:t>
            </w:r>
            <w:r w:rsidRPr="00F733F8">
              <w:rPr>
                <w:bCs/>
              </w:rPr>
              <w:t>(Vice-Chair) and Craig Turner (Secretary)</w:t>
            </w:r>
            <w:r w:rsidR="00F733F8">
              <w:rPr>
                <w:bCs/>
              </w:rPr>
              <w:t>.</w:t>
            </w:r>
          </w:p>
          <w:p w:rsidR="00956170" w:rsidRDefault="00E50A15" w:rsidP="00956170">
            <w:pPr>
              <w:pStyle w:val="ListParagraph"/>
              <w:numPr>
                <w:ilvl w:val="0"/>
                <w:numId w:val="10"/>
              </w:numPr>
              <w:contextualSpacing w:val="0"/>
              <w:jc w:val="both"/>
            </w:pPr>
            <w:r w:rsidRPr="00EE5249">
              <w:rPr>
                <w:b/>
                <w:u w:val="single"/>
              </w:rPr>
              <w:t>Meeting</w:t>
            </w:r>
            <w:r w:rsidR="002C6830">
              <w:t xml:space="preserve"> ECUS </w:t>
            </w:r>
            <w:r w:rsidR="002C6830" w:rsidRPr="00B5732D">
              <w:rPr>
                <w:bCs/>
              </w:rPr>
              <w:t xml:space="preserve">met on </w:t>
            </w:r>
            <w:r w:rsidR="001F104D">
              <w:rPr>
                <w:bCs/>
              </w:rPr>
              <w:t>2 Dec 2016</w:t>
            </w:r>
            <w:r w:rsidR="002C6830" w:rsidRPr="00B5732D">
              <w:rPr>
                <w:bCs/>
              </w:rPr>
              <w:t xml:space="preserve"> from 2:00pm to 3:15pm. The following topics were discussed</w:t>
            </w:r>
            <w:r w:rsidR="00543E62" w:rsidRPr="00EE5249">
              <w:t>.</w:t>
            </w:r>
          </w:p>
          <w:p w:rsidR="00956170" w:rsidRPr="009E6D1C" w:rsidRDefault="00956170" w:rsidP="00956170">
            <w:pPr>
              <w:pStyle w:val="ListParagraph"/>
              <w:numPr>
                <w:ilvl w:val="1"/>
                <w:numId w:val="10"/>
              </w:numPr>
              <w:ind w:left="698"/>
              <w:contextualSpacing w:val="0"/>
              <w:jc w:val="both"/>
            </w:pPr>
            <w:r w:rsidRPr="009E6D1C">
              <w:rPr>
                <w:b/>
                <w:u w:val="single"/>
              </w:rPr>
              <w:t>Presiding Officer Report to ECUS</w:t>
            </w:r>
          </w:p>
          <w:p w:rsidR="00213868" w:rsidRPr="009E6D1C" w:rsidRDefault="00213868" w:rsidP="00956170">
            <w:pPr>
              <w:pStyle w:val="ListParagraph"/>
              <w:numPr>
                <w:ilvl w:val="2"/>
                <w:numId w:val="10"/>
              </w:numPr>
              <w:ind w:left="968"/>
              <w:contextualSpacing w:val="0"/>
              <w:jc w:val="both"/>
            </w:pPr>
            <w:r w:rsidRPr="009E6D1C">
              <w:rPr>
                <w:b/>
                <w:u w:val="single"/>
              </w:rPr>
              <w:t>Concern</w:t>
            </w:r>
            <w:r w:rsidR="00956170" w:rsidRPr="009E6D1C">
              <w:t xml:space="preserve"> </w:t>
            </w:r>
            <w:r w:rsidRPr="009E6D1C">
              <w:t>ECUS addressed a faculty concern regarding the role of executive administration in advancing proposals under review by standing committees. In the spirit of shared governance, it is recommended that the executive administrators limit their influence in advancing contested proposals.</w:t>
            </w:r>
          </w:p>
          <w:p w:rsidR="00213868" w:rsidRPr="009E6D1C" w:rsidRDefault="00213868" w:rsidP="00956170">
            <w:pPr>
              <w:pStyle w:val="ListParagraph"/>
              <w:numPr>
                <w:ilvl w:val="2"/>
                <w:numId w:val="10"/>
              </w:numPr>
              <w:ind w:left="968"/>
              <w:contextualSpacing w:val="0"/>
              <w:jc w:val="both"/>
            </w:pPr>
            <w:r w:rsidRPr="009E6D1C">
              <w:rPr>
                <w:b/>
                <w:u w:val="single"/>
              </w:rPr>
              <w:t>Bylaws</w:t>
            </w:r>
            <w:r w:rsidRPr="009E6D1C">
              <w:t xml:space="preserve"> ECUS will review university senate bylaws and further clarify the charge of each standing committee.</w:t>
            </w:r>
          </w:p>
          <w:p w:rsidR="00775D18" w:rsidRPr="009E6D1C" w:rsidRDefault="00775D18" w:rsidP="00956170">
            <w:pPr>
              <w:pStyle w:val="ListParagraph"/>
              <w:numPr>
                <w:ilvl w:val="2"/>
                <w:numId w:val="10"/>
              </w:numPr>
              <w:ind w:left="968"/>
              <w:contextualSpacing w:val="0"/>
              <w:jc w:val="both"/>
            </w:pPr>
            <w:r w:rsidRPr="009E6D1C">
              <w:rPr>
                <w:b/>
                <w:u w:val="single"/>
              </w:rPr>
              <w:t>ECUS-SCC Deliberation</w:t>
            </w:r>
            <w:r w:rsidRPr="009E6D1C">
              <w:t xml:space="preserve"> Spirited deliberation ensued on this issue with the following conversation points.</w:t>
            </w:r>
          </w:p>
          <w:p w:rsidR="00775D18" w:rsidRPr="009E6D1C" w:rsidRDefault="000B1DC6" w:rsidP="00072DB0">
            <w:pPr>
              <w:pStyle w:val="ListParagraph"/>
              <w:numPr>
                <w:ilvl w:val="3"/>
                <w:numId w:val="10"/>
              </w:numPr>
              <w:ind w:left="1328"/>
              <w:contextualSpacing w:val="0"/>
              <w:jc w:val="both"/>
            </w:pPr>
            <w:r w:rsidRPr="009E6D1C">
              <w:t>What is the role of standing committees in reviewing a proposal</w:t>
            </w:r>
            <w:r w:rsidR="00BF0003">
              <w:t xml:space="preserve"> emerging from a department and/or </w:t>
            </w:r>
            <w:r w:rsidRPr="009E6D1C">
              <w:t xml:space="preserve">college? Matters that emerge from these </w:t>
            </w:r>
            <w:r w:rsidRPr="009E6D1C">
              <w:lastRenderedPageBreak/>
              <w:t xml:space="preserve">sources are often curricular, but this issue was broadened to all standing committees not simply CAPC. </w:t>
            </w:r>
            <w:r w:rsidR="00775D18" w:rsidRPr="009E6D1C">
              <w:t>There is a need to attempt to remove the gray areas in the committee charge</w:t>
            </w:r>
            <w:r w:rsidR="00072DB0" w:rsidRPr="009E6D1C">
              <w:t>s</w:t>
            </w:r>
            <w:r w:rsidR="00960D9B" w:rsidRPr="009E6D1C">
              <w:t xml:space="preserve"> and perhaps to codify the role of the standing committee more clearly and specifically</w:t>
            </w:r>
            <w:r w:rsidR="00775D18" w:rsidRPr="009E6D1C">
              <w:t>.</w:t>
            </w:r>
            <w:r w:rsidR="00960D9B" w:rsidRPr="009E6D1C">
              <w:t xml:space="preserve"> As one example</w:t>
            </w:r>
            <w:r w:rsidR="009D00FE" w:rsidRPr="009E6D1C">
              <w:t>,</w:t>
            </w:r>
            <w:r w:rsidR="00960D9B" w:rsidRPr="009E6D1C">
              <w:t xml:space="preserve"> should CAPC be reviewing the merits of a </w:t>
            </w:r>
            <w:r w:rsidR="009D00FE" w:rsidRPr="009E6D1C">
              <w:t xml:space="preserve">curricular </w:t>
            </w:r>
            <w:r w:rsidR="00960D9B" w:rsidRPr="009E6D1C">
              <w:t>proposal or simply ensuring the proposal has been adequately considered at the department and college levels with good practice in shared governance</w:t>
            </w:r>
            <w:r w:rsidR="0046209C">
              <w:t>?</w:t>
            </w:r>
            <w:r w:rsidR="00960D9B" w:rsidRPr="009E6D1C">
              <w:t xml:space="preserve"> A</w:t>
            </w:r>
            <w:r w:rsidR="009D00FE" w:rsidRPr="009E6D1C">
              <w:t xml:space="preserve">t present, the </w:t>
            </w:r>
            <w:r w:rsidR="00960D9B" w:rsidRPr="009E6D1C">
              <w:t xml:space="preserve">university senate bylaws </w:t>
            </w:r>
            <w:r w:rsidR="009D00FE" w:rsidRPr="009E6D1C">
              <w:t>are</w:t>
            </w:r>
            <w:r w:rsidR="00960D9B" w:rsidRPr="009E6D1C">
              <w:t xml:space="preserve"> silent on guidance in these matters and so there are some gray areas in current</w:t>
            </w:r>
            <w:r w:rsidR="00492D7A" w:rsidRPr="009E6D1C">
              <w:t xml:space="preserve"> </w:t>
            </w:r>
            <w:r w:rsidR="00960D9B" w:rsidRPr="009E6D1C">
              <w:t xml:space="preserve">committee charges. </w:t>
            </w:r>
            <w:r w:rsidR="00072DB0" w:rsidRPr="009E6D1C">
              <w:t xml:space="preserve">ECUS subcommittee consisting of Chavonda Mills, Shaundra Walker and Craig Turner was formed at the 4 Dec 2016 </w:t>
            </w:r>
            <w:r w:rsidR="009D00FE" w:rsidRPr="009E6D1C">
              <w:t xml:space="preserve">ECUS meeting </w:t>
            </w:r>
            <w:r w:rsidR="00A45E70" w:rsidRPr="009E6D1C">
              <w:t xml:space="preserve">and this subcommittee was charged </w:t>
            </w:r>
            <w:r w:rsidR="00072DB0" w:rsidRPr="009E6D1C">
              <w:t xml:space="preserve">to review committee charges in the university senate bylaws. </w:t>
            </w:r>
            <w:r w:rsidR="00775D18" w:rsidRPr="009E6D1C">
              <w:t xml:space="preserve">Some felt removal of </w:t>
            </w:r>
            <w:r w:rsidR="009D00FE" w:rsidRPr="009E6D1C">
              <w:t>all</w:t>
            </w:r>
            <w:r w:rsidR="00775D18" w:rsidRPr="009E6D1C">
              <w:t xml:space="preserve"> gray area</w:t>
            </w:r>
            <w:r w:rsidR="009D00FE" w:rsidRPr="009E6D1C">
              <w:t>s</w:t>
            </w:r>
            <w:r w:rsidR="00775D18" w:rsidRPr="009E6D1C">
              <w:t xml:space="preserve"> would be easier said than done.</w:t>
            </w:r>
          </w:p>
          <w:p w:rsidR="00775D18" w:rsidRPr="009E6D1C" w:rsidRDefault="00072DB0" w:rsidP="00775D18">
            <w:pPr>
              <w:pStyle w:val="ListParagraph"/>
              <w:numPr>
                <w:ilvl w:val="3"/>
                <w:numId w:val="10"/>
              </w:numPr>
              <w:ind w:left="1328"/>
              <w:contextualSpacing w:val="0"/>
              <w:jc w:val="both"/>
            </w:pPr>
            <w:r w:rsidRPr="009E6D1C">
              <w:t xml:space="preserve">The absence of an appeal process may also be a point of tension. ECUS subcommittee consisting of Interim Provost </w:t>
            </w:r>
            <w:r w:rsidRPr="009E6D1C">
              <w:lastRenderedPageBreak/>
              <w:t xml:space="preserve">Spirou, John Swinton, and Craig Turner </w:t>
            </w:r>
            <w:r w:rsidR="00A45E70" w:rsidRPr="009E6D1C">
              <w:t>was formed at the 4 Dec 2016 ECUS meeting and this subcommittee was</w:t>
            </w:r>
            <w:r w:rsidRPr="009E6D1C">
              <w:t xml:space="preserve"> charged to draft language </w:t>
            </w:r>
            <w:r w:rsidR="007E3DCF" w:rsidRPr="009E6D1C">
              <w:t xml:space="preserve">for </w:t>
            </w:r>
            <w:r w:rsidRPr="009E6D1C">
              <w:t>appeal proces</w:t>
            </w:r>
            <w:r w:rsidR="007E3DCF" w:rsidRPr="009E6D1C">
              <w:t>se</w:t>
            </w:r>
            <w:r w:rsidRPr="009E6D1C">
              <w:t>s. Initially this might be considered with</w:t>
            </w:r>
            <w:r w:rsidR="009301B7" w:rsidRPr="009E6D1C">
              <w:t xml:space="preserve"> respect to the curricular flowchart</w:t>
            </w:r>
            <w:r w:rsidRPr="009E6D1C">
              <w:t xml:space="preserve"> that recently emerged as well as for decisions of the standing committees of the university senate.</w:t>
            </w:r>
          </w:p>
          <w:p w:rsidR="00072DB0" w:rsidRPr="009E6D1C" w:rsidRDefault="00072DB0" w:rsidP="00775D18">
            <w:pPr>
              <w:pStyle w:val="ListParagraph"/>
              <w:numPr>
                <w:ilvl w:val="3"/>
                <w:numId w:val="10"/>
              </w:numPr>
              <w:ind w:left="1328"/>
              <w:contextualSpacing w:val="0"/>
              <w:jc w:val="both"/>
            </w:pPr>
            <w:r w:rsidRPr="009E6D1C">
              <w:t>In the consideration of curricular matters, faculty have primacy in the curricular content and the pedagogical delivery of this c</w:t>
            </w:r>
            <w:r w:rsidR="009301B7" w:rsidRPr="009E6D1C">
              <w:t>ontent and administrators have the</w:t>
            </w:r>
            <w:r w:rsidRPr="009E6D1C">
              <w:t xml:space="preserve"> responsibility to ensure efficiency and effectiveness in the resource management </w:t>
            </w:r>
            <w:r w:rsidR="00BF0003">
              <w:t>in</w:t>
            </w:r>
            <w:r w:rsidRPr="009E6D1C">
              <w:t xml:space="preserve"> the delivery of curriculum. At times ther</w:t>
            </w:r>
            <w:r w:rsidR="00BF0003">
              <w:t>e is a tension between these</w:t>
            </w:r>
            <w:r w:rsidRPr="009E6D1C">
              <w:t>.</w:t>
            </w:r>
          </w:p>
          <w:p w:rsidR="00072DB0" w:rsidRPr="009E6D1C" w:rsidRDefault="00072DB0" w:rsidP="00775D18">
            <w:pPr>
              <w:pStyle w:val="ListParagraph"/>
              <w:numPr>
                <w:ilvl w:val="3"/>
                <w:numId w:val="10"/>
              </w:numPr>
              <w:ind w:left="1328"/>
              <w:contextualSpacing w:val="0"/>
              <w:jc w:val="both"/>
            </w:pPr>
            <w:r w:rsidRPr="009E6D1C">
              <w:t>There is always room for more clarity in existing governance documents, and the recent issue has brought this to light. It is hoped that we can move forward together and bring additional clarity to our shared governance processes including the university senate bylaws and recently emerging curricular flowchart.</w:t>
            </w:r>
          </w:p>
          <w:p w:rsidR="00213868" w:rsidRPr="009E6D1C" w:rsidRDefault="00213868" w:rsidP="00213868">
            <w:pPr>
              <w:pStyle w:val="ListParagraph"/>
              <w:numPr>
                <w:ilvl w:val="1"/>
                <w:numId w:val="10"/>
              </w:numPr>
              <w:ind w:left="698"/>
              <w:contextualSpacing w:val="0"/>
              <w:jc w:val="both"/>
            </w:pPr>
            <w:r w:rsidRPr="009E6D1C">
              <w:rPr>
                <w:b/>
                <w:u w:val="single"/>
              </w:rPr>
              <w:t>USGFC Rep Term of Service</w:t>
            </w:r>
          </w:p>
          <w:p w:rsidR="00213868" w:rsidRPr="009E6D1C" w:rsidRDefault="00213868" w:rsidP="00956170">
            <w:pPr>
              <w:pStyle w:val="ListParagraph"/>
              <w:numPr>
                <w:ilvl w:val="2"/>
                <w:numId w:val="10"/>
              </w:numPr>
              <w:ind w:left="968"/>
              <w:contextualSpacing w:val="0"/>
              <w:jc w:val="both"/>
            </w:pPr>
            <w:r w:rsidRPr="009E6D1C">
              <w:rPr>
                <w:b/>
                <w:u w:val="single"/>
              </w:rPr>
              <w:lastRenderedPageBreak/>
              <w:t>Two Reps</w:t>
            </w:r>
            <w:r w:rsidRPr="009E6D1C">
              <w:t xml:space="preserve"> ECUS agreed the university faculty will have two USGFC reps: the Presiding Officer Elect with a one year term of service and an elected faculty senator representative with a two year term of service.</w:t>
            </w:r>
          </w:p>
          <w:p w:rsidR="006616DD" w:rsidRPr="009E6D1C" w:rsidRDefault="00213868" w:rsidP="00956170">
            <w:pPr>
              <w:pStyle w:val="ListParagraph"/>
              <w:numPr>
                <w:ilvl w:val="2"/>
                <w:numId w:val="10"/>
              </w:numPr>
              <w:ind w:left="968"/>
              <w:contextualSpacing w:val="0"/>
              <w:jc w:val="both"/>
            </w:pPr>
            <w:r w:rsidRPr="009E6D1C">
              <w:rPr>
                <w:b/>
                <w:u w:val="single"/>
              </w:rPr>
              <w:t>Election Process</w:t>
            </w:r>
            <w:r w:rsidRPr="009E6D1C">
              <w:t xml:space="preserve"> The Chair of the Subcommittee on Nominations (SCoN) will facilitate the election and SCoN</w:t>
            </w:r>
            <w:r w:rsidR="002E60A8">
              <w:t xml:space="preserve"> members</w:t>
            </w:r>
            <w:r w:rsidRPr="009E6D1C">
              <w:t xml:space="preserve"> will provide recommendations on the election process (e.g., timeline, eligibility, etc.).</w:t>
            </w:r>
          </w:p>
          <w:p w:rsidR="00775D18" w:rsidRPr="009E6D1C" w:rsidRDefault="00694AF9" w:rsidP="00694AF9">
            <w:pPr>
              <w:pStyle w:val="ListParagraph"/>
              <w:numPr>
                <w:ilvl w:val="1"/>
                <w:numId w:val="10"/>
              </w:numPr>
              <w:ind w:left="698"/>
              <w:contextualSpacing w:val="0"/>
              <w:jc w:val="both"/>
            </w:pPr>
            <w:r w:rsidRPr="009E6D1C">
              <w:rPr>
                <w:b/>
                <w:u w:val="single"/>
              </w:rPr>
              <w:t xml:space="preserve">Role of US in Liberal Arts Council </w:t>
            </w:r>
            <w:r w:rsidRPr="009E6D1C">
              <w:t>ECUS recommends the university senate representative (presently Susan Steele) on the Liberal Arts Council provide monthly written and oral updates on council business. The university senate representative is encouraged to inform the council of items requiring university senate consideration to ensure</w:t>
            </w:r>
            <w:r w:rsidR="00775D18" w:rsidRPr="009E6D1C">
              <w:t xml:space="preserve"> </w:t>
            </w:r>
            <w:r w:rsidRPr="009E6D1C">
              <w:t>university senate involvement throughout decision-making processes</w:t>
            </w:r>
            <w:r w:rsidR="009E6D1C" w:rsidRPr="009E6D1C">
              <w:t>.</w:t>
            </w:r>
          </w:p>
          <w:p w:rsidR="00775D18" w:rsidRPr="009E6D1C" w:rsidRDefault="00694AF9" w:rsidP="00694AF9">
            <w:pPr>
              <w:pStyle w:val="ListParagraph"/>
              <w:numPr>
                <w:ilvl w:val="1"/>
                <w:numId w:val="10"/>
              </w:numPr>
              <w:ind w:left="698"/>
              <w:contextualSpacing w:val="0"/>
              <w:jc w:val="both"/>
            </w:pPr>
            <w:r w:rsidRPr="009E6D1C">
              <w:rPr>
                <w:b/>
                <w:u w:val="single"/>
              </w:rPr>
              <w:t>IFR Procedures</w:t>
            </w:r>
            <w:r w:rsidRPr="009E6D1C">
              <w:t xml:space="preserve"> ECUS considered a concern regarding</w:t>
            </w:r>
            <w:r w:rsidR="002E60A8">
              <w:t xml:space="preserve"> the</w:t>
            </w:r>
            <w:r w:rsidRPr="009E6D1C">
              <w:t xml:space="preserve"> Individual Faculty Report (IFR) deadline of March 15, which was set when IFR submission was based on the academic year. Concerns were</w:t>
            </w:r>
          </w:p>
          <w:p w:rsidR="00694AF9" w:rsidRPr="009E6D1C" w:rsidRDefault="00694AF9" w:rsidP="00694AF9">
            <w:pPr>
              <w:pStyle w:val="ListParagraph"/>
              <w:numPr>
                <w:ilvl w:val="2"/>
                <w:numId w:val="10"/>
              </w:numPr>
              <w:ind w:left="968"/>
              <w:contextualSpacing w:val="0"/>
              <w:jc w:val="both"/>
            </w:pPr>
            <w:r w:rsidRPr="009E6D1C">
              <w:t>faculty need sufficient notification of a deadline change, and</w:t>
            </w:r>
          </w:p>
          <w:p w:rsidR="00775D18" w:rsidRPr="009E6D1C" w:rsidRDefault="00694AF9" w:rsidP="00694AF9">
            <w:pPr>
              <w:pStyle w:val="ListParagraph"/>
              <w:numPr>
                <w:ilvl w:val="2"/>
                <w:numId w:val="10"/>
              </w:numPr>
              <w:ind w:left="968"/>
              <w:contextualSpacing w:val="0"/>
              <w:jc w:val="both"/>
            </w:pPr>
            <w:r w:rsidRPr="009E6D1C">
              <w:lastRenderedPageBreak/>
              <w:t>can the deadline be changed withou</w:t>
            </w:r>
            <w:r w:rsidR="009E6D1C" w:rsidRPr="009E6D1C">
              <w:t>t due process and faculty input?</w:t>
            </w:r>
          </w:p>
          <w:p w:rsidR="00694AF9" w:rsidRPr="009E6D1C" w:rsidRDefault="00694AF9" w:rsidP="00694AF9">
            <w:pPr>
              <w:ind w:left="608"/>
              <w:jc w:val="both"/>
            </w:pPr>
            <w:r w:rsidRPr="009E6D1C">
              <w:t xml:space="preserve">For calendar year 2016 IFR submission, ECUS recommends </w:t>
            </w:r>
            <w:r w:rsidR="00951F1A" w:rsidRPr="009E6D1C">
              <w:t xml:space="preserve">Interim </w:t>
            </w:r>
            <w:r w:rsidRPr="009E6D1C">
              <w:t>Provost Spirou consult with Deans Council to propose a deadline, and communicate th</w:t>
            </w:r>
            <w:r w:rsidR="002E60A8">
              <w:t>is</w:t>
            </w:r>
            <w:r w:rsidRPr="009E6D1C">
              <w:t xml:space="preserve"> deadline </w:t>
            </w:r>
            <w:r w:rsidR="009E6F08">
              <w:t>to</w:t>
            </w:r>
            <w:r w:rsidRPr="009E6D1C">
              <w:t xml:space="preserve"> faculty as early as possible. Moving forward, FAPC will review current IFR submission procedures and make recommendations to revise language and deadlines based on the current practice of calendar year IFR submission.</w:t>
            </w:r>
          </w:p>
          <w:p w:rsidR="00FE1542" w:rsidRPr="009E6D1C" w:rsidRDefault="00FE1542" w:rsidP="00694AF9">
            <w:pPr>
              <w:pStyle w:val="ListParagraph"/>
              <w:numPr>
                <w:ilvl w:val="1"/>
                <w:numId w:val="10"/>
              </w:numPr>
              <w:ind w:left="698"/>
              <w:contextualSpacing w:val="0"/>
              <w:jc w:val="both"/>
            </w:pPr>
            <w:r w:rsidRPr="009E6D1C">
              <w:rPr>
                <w:b/>
                <w:u w:val="single"/>
              </w:rPr>
              <w:t>Policy Updates Committee</w:t>
            </w:r>
          </w:p>
          <w:p w:rsidR="00956170" w:rsidRPr="009E6D1C" w:rsidRDefault="00FE1542" w:rsidP="00490DDA">
            <w:pPr>
              <w:pStyle w:val="ListParagraph"/>
              <w:numPr>
                <w:ilvl w:val="2"/>
                <w:numId w:val="10"/>
              </w:numPr>
              <w:autoSpaceDE w:val="0"/>
              <w:autoSpaceDN w:val="0"/>
              <w:adjustRightInd w:val="0"/>
              <w:ind w:left="968"/>
              <w:contextualSpacing w:val="0"/>
              <w:jc w:val="both"/>
            </w:pPr>
            <w:r w:rsidRPr="009E6D1C">
              <w:rPr>
                <w:b/>
                <w:u w:val="single"/>
              </w:rPr>
              <w:t>Issue</w:t>
            </w:r>
            <w:r w:rsidR="00956170" w:rsidRPr="009E6D1C">
              <w:t xml:space="preserve"> </w:t>
            </w:r>
            <w:r w:rsidRPr="009E6D1C">
              <w:t xml:space="preserve">ECUS considered a query regarding the process for ensuring existing </w:t>
            </w:r>
            <w:r w:rsidR="003A05D1" w:rsidRPr="009E6D1C">
              <w:t>university</w:t>
            </w:r>
            <w:r w:rsidRPr="009E6D1C">
              <w:t xml:space="preserve"> policies are in compliance with </w:t>
            </w:r>
            <w:r w:rsidR="00A3169D" w:rsidRPr="009E6D1C">
              <w:t>USG/</w:t>
            </w:r>
            <w:r w:rsidRPr="009E6D1C">
              <w:t>BoR</w:t>
            </w:r>
            <w:r w:rsidR="00A3169D" w:rsidRPr="009E6D1C">
              <w:t xml:space="preserve"> policy</w:t>
            </w:r>
            <w:r w:rsidRPr="009E6D1C">
              <w:t xml:space="preserve"> </w:t>
            </w:r>
            <w:r w:rsidR="003A05D1" w:rsidRPr="009E6D1C">
              <w:t xml:space="preserve">when </w:t>
            </w:r>
            <w:r w:rsidR="00A3169D" w:rsidRPr="009E6D1C">
              <w:t>USG/</w:t>
            </w:r>
            <w:r w:rsidRPr="009E6D1C">
              <w:t xml:space="preserve">BoR policies are </w:t>
            </w:r>
            <w:r w:rsidR="003A05D1" w:rsidRPr="009E6D1C">
              <w:t>updated</w:t>
            </w:r>
            <w:r w:rsidRPr="009E6D1C">
              <w:t>.</w:t>
            </w:r>
            <w:r w:rsidR="00775D18" w:rsidRPr="009E6D1C">
              <w:t xml:space="preserve"> </w:t>
            </w:r>
            <w:r w:rsidRPr="009E6D1C">
              <w:t xml:space="preserve">ECUS noted that </w:t>
            </w:r>
            <w:r w:rsidR="009B4B51" w:rsidRPr="009E6D1C">
              <w:t xml:space="preserve">the University </w:t>
            </w:r>
            <w:r w:rsidRPr="009E6D1C">
              <w:t xml:space="preserve">Compliance/ Policy Officer </w:t>
            </w:r>
            <w:r w:rsidR="009B4B51" w:rsidRPr="009E6D1C">
              <w:t xml:space="preserve">(presently Sadie Simmons) </w:t>
            </w:r>
            <w:r w:rsidRPr="009E6D1C">
              <w:t xml:space="preserve">is the responsible party for ensuring policy compliance and recommends </w:t>
            </w:r>
            <w:r w:rsidR="009B4B51" w:rsidRPr="009E6D1C">
              <w:t>this officer</w:t>
            </w:r>
            <w:r w:rsidRPr="009E6D1C">
              <w:t xml:space="preserve"> notify the university senate of </w:t>
            </w:r>
            <w:r w:rsidR="00F56292" w:rsidRPr="009E6D1C">
              <w:t>USG/</w:t>
            </w:r>
            <w:r w:rsidRPr="009E6D1C">
              <w:t>Bo</w:t>
            </w:r>
            <w:r w:rsidR="009B4B51" w:rsidRPr="009E6D1C">
              <w:t xml:space="preserve">R policy changes. </w:t>
            </w:r>
            <w:r w:rsidRPr="009E6D1C">
              <w:t xml:space="preserve">University Senate will present these </w:t>
            </w:r>
            <w:r w:rsidR="00F56292" w:rsidRPr="009E6D1C">
              <w:t>USG/</w:t>
            </w:r>
            <w:r w:rsidRPr="009E6D1C">
              <w:t xml:space="preserve">BoR policy updates as information items as no deliberation </w:t>
            </w:r>
            <w:r w:rsidR="003A05D1" w:rsidRPr="009E6D1C">
              <w:t>is</w:t>
            </w:r>
            <w:r w:rsidRPr="009E6D1C">
              <w:t xml:space="preserve"> necessary unless it is to contest the policy change</w:t>
            </w:r>
            <w:r w:rsidR="00956170" w:rsidRPr="009E6D1C">
              <w:t>.</w:t>
            </w:r>
          </w:p>
          <w:p w:rsidR="00956170" w:rsidRPr="009E6D1C" w:rsidRDefault="00BD5AB2" w:rsidP="00490DDA">
            <w:pPr>
              <w:pStyle w:val="ListParagraph"/>
              <w:numPr>
                <w:ilvl w:val="2"/>
                <w:numId w:val="10"/>
              </w:numPr>
              <w:shd w:val="clear" w:color="auto" w:fill="FFFFFF"/>
              <w:autoSpaceDE w:val="0"/>
              <w:autoSpaceDN w:val="0"/>
              <w:adjustRightInd w:val="0"/>
              <w:ind w:left="968"/>
              <w:contextualSpacing w:val="0"/>
              <w:jc w:val="both"/>
              <w:rPr>
                <w:u w:val="single"/>
              </w:rPr>
            </w:pPr>
            <w:r w:rsidRPr="009E6D1C">
              <w:rPr>
                <w:b/>
                <w:u w:val="single"/>
              </w:rPr>
              <w:t>Proposal</w:t>
            </w:r>
            <w:r w:rsidR="00956170" w:rsidRPr="009E6D1C">
              <w:t xml:space="preserve"> </w:t>
            </w:r>
            <w:r w:rsidRPr="009E6D1C">
              <w:t xml:space="preserve">ECUS proposed formation of a policy oversight committee to ensure proposed </w:t>
            </w:r>
            <w:r w:rsidRPr="009E6D1C">
              <w:lastRenderedPageBreak/>
              <w:t xml:space="preserve">policies are in compliance with </w:t>
            </w:r>
            <w:r w:rsidR="002E60A8">
              <w:t>external (USG/</w:t>
            </w:r>
            <w:r w:rsidRPr="009E6D1C">
              <w:t>BoR</w:t>
            </w:r>
            <w:r w:rsidR="002E60A8">
              <w:t>)</w:t>
            </w:r>
            <w:r w:rsidRPr="009E6D1C">
              <w:t xml:space="preserve"> as well as existing internal </w:t>
            </w:r>
            <w:r w:rsidR="002E60A8">
              <w:t>(</w:t>
            </w:r>
            <w:r w:rsidRPr="009E6D1C">
              <w:t>GC</w:t>
            </w:r>
            <w:r w:rsidR="002E60A8">
              <w:t>)</w:t>
            </w:r>
            <w:r w:rsidRPr="009E6D1C">
              <w:t xml:space="preserve"> polices, processes, and procedures.</w:t>
            </w:r>
            <w:r w:rsidR="00775D18" w:rsidRPr="009E6D1C">
              <w:t xml:space="preserve"> </w:t>
            </w:r>
            <w:r w:rsidRPr="009E6D1C">
              <w:t>Recommended as committee members were the Policy/ Compliance Officer and representatives from the following: Legal Affairs, Human Resources, Academic Affairs, and Finance and Administration</w:t>
            </w:r>
            <w:r w:rsidR="00956170" w:rsidRPr="009E6D1C">
              <w:t>.</w:t>
            </w:r>
            <w:r w:rsidR="004E03F9">
              <w:t xml:space="preserve"> This committee might also draft policies.</w:t>
            </w:r>
          </w:p>
          <w:p w:rsidR="00E0486D" w:rsidRPr="00B342EA" w:rsidRDefault="00BD5AB2" w:rsidP="009E6F08">
            <w:pPr>
              <w:pStyle w:val="ListParagraph"/>
              <w:shd w:val="clear" w:color="auto" w:fill="FFFFFF"/>
              <w:autoSpaceDE w:val="0"/>
              <w:autoSpaceDN w:val="0"/>
              <w:adjustRightInd w:val="0"/>
              <w:ind w:left="968"/>
              <w:contextualSpacing w:val="0"/>
              <w:jc w:val="both"/>
              <w:rPr>
                <w:sz w:val="22"/>
                <w:szCs w:val="22"/>
                <w:u w:val="single"/>
              </w:rPr>
            </w:pPr>
            <w:r w:rsidRPr="009E6D1C">
              <w:rPr>
                <w:b/>
                <w:u w:val="single"/>
              </w:rPr>
              <w:t>ECUS-SCC Deliberation</w:t>
            </w:r>
            <w:r w:rsidRPr="009E6D1C">
              <w:t xml:space="preserve"> There were concerns vocalized about the formation of such a committee and its role. Those concerned felt that the proposed members of this policy committee could be brought in for consultation as needed when policies were being developed by a standing committee (APC, CAPC, FAPC, RPIPC, SAPC). </w:t>
            </w:r>
            <w:r w:rsidR="004E03F9">
              <w:t xml:space="preserve">Another concern was including the drafting of policy as a charge to this proposed committee as university policy is within the domain of the university senate. </w:t>
            </w:r>
            <w:r w:rsidRPr="009E6D1C">
              <w:t xml:space="preserve">A request was made of Chavonda Mills that prior to implementation of this policy committee, this proposal be brought back to ECUS-SCC for </w:t>
            </w:r>
            <w:r w:rsidR="00B342EA" w:rsidRPr="009E6D1C">
              <w:t>further discussion</w:t>
            </w:r>
            <w:r w:rsidRPr="009E6D1C">
              <w:t>. Chavonda Mills assured those concerned that this would be done.</w:t>
            </w:r>
          </w:p>
        </w:tc>
        <w:tc>
          <w:tcPr>
            <w:tcW w:w="3420" w:type="dxa"/>
          </w:tcPr>
          <w:p w:rsidR="001843B9" w:rsidRPr="0037381E" w:rsidRDefault="001843B9" w:rsidP="001843B9"/>
        </w:tc>
        <w:tc>
          <w:tcPr>
            <w:tcW w:w="2898" w:type="dxa"/>
          </w:tcPr>
          <w:p w:rsidR="001843B9" w:rsidRPr="00FC3E83" w:rsidRDefault="00FC3E83" w:rsidP="001843B9">
            <w:pPr>
              <w:jc w:val="both"/>
            </w:pPr>
            <w:r w:rsidRPr="00FC3E83">
              <w:t xml:space="preserve">Chavonda Mills to ensure that prior to implementation of a policy committee, the proposal of </w:t>
            </w:r>
            <w:r>
              <w:t xml:space="preserve">such </w:t>
            </w:r>
            <w:r w:rsidRPr="00FC3E83">
              <w:t>a policy committee be brought back to ECUS-SCC for further discussion.</w:t>
            </w: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EF3B74" w:rsidP="001843B9">
            <w:pPr>
              <w:tabs>
                <w:tab w:val="left" w:pos="0"/>
              </w:tabs>
              <w:rPr>
                <w:b/>
                <w:bCs/>
              </w:rPr>
            </w:pPr>
            <w:r>
              <w:rPr>
                <w:b/>
                <w:bCs/>
              </w:rPr>
              <w:t>Carol Sapp</w:t>
            </w:r>
          </w:p>
        </w:tc>
        <w:tc>
          <w:tcPr>
            <w:tcW w:w="4586" w:type="dxa"/>
          </w:tcPr>
          <w:p w:rsidR="001843B9" w:rsidRDefault="001843B9" w:rsidP="00C77A5A">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no motions to submit for </w:t>
            </w:r>
            <w:r w:rsidR="00987D28">
              <w:rPr>
                <w:color w:val="000000" w:themeColor="text1"/>
              </w:rPr>
              <w:t>university senate</w:t>
            </w:r>
            <w:r w:rsidRPr="00B5732D">
              <w:rPr>
                <w:color w:val="000000" w:themeColor="text1"/>
              </w:rPr>
              <w:t xml:space="preserve"> consideration at its </w:t>
            </w:r>
            <w:r w:rsidR="0027349A">
              <w:rPr>
                <w:color w:val="000000" w:themeColor="text1"/>
              </w:rPr>
              <w:t>20 Jan 2017</w:t>
            </w:r>
            <w:r w:rsidRPr="00B5732D">
              <w:rPr>
                <w:color w:val="000000" w:themeColor="text1"/>
              </w:rPr>
              <w:t xml:space="preserve"> meeting.</w:t>
            </w:r>
          </w:p>
          <w:p w:rsidR="002026C1" w:rsidRPr="00B5732D" w:rsidRDefault="001843B9" w:rsidP="00C77A5A">
            <w:pPr>
              <w:pStyle w:val="ListParagraph"/>
              <w:numPr>
                <w:ilvl w:val="0"/>
                <w:numId w:val="8"/>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F733F8">
              <w:rPr>
                <w:bCs/>
                <w:color w:val="000000" w:themeColor="text1"/>
              </w:rPr>
              <w:t>6</w:t>
            </w:r>
            <w:r w:rsidRPr="00B5732D">
              <w:rPr>
                <w:bCs/>
                <w:color w:val="000000" w:themeColor="text1"/>
              </w:rPr>
              <w:t>-1</w:t>
            </w:r>
            <w:r w:rsidR="00F733F8">
              <w:rPr>
                <w:bCs/>
                <w:color w:val="000000" w:themeColor="text1"/>
              </w:rPr>
              <w:t>7</w:t>
            </w:r>
            <w:r w:rsidRPr="00B5732D">
              <w:rPr>
                <w:bCs/>
                <w:color w:val="000000" w:themeColor="text1"/>
              </w:rPr>
              <w:t xml:space="preserve"> APC officers are </w:t>
            </w:r>
            <w:r w:rsidR="00F733F8">
              <w:rPr>
                <w:bCs/>
                <w:color w:val="000000" w:themeColor="text1"/>
              </w:rPr>
              <w:t>Carol Sapp</w:t>
            </w:r>
            <w:r w:rsidR="00663D9A" w:rsidRPr="00B5732D">
              <w:rPr>
                <w:bCs/>
                <w:color w:val="000000" w:themeColor="text1"/>
              </w:rPr>
              <w:t xml:space="preserve"> </w:t>
            </w:r>
            <w:r w:rsidRPr="00B5732D">
              <w:rPr>
                <w:bCs/>
                <w:color w:val="000000" w:themeColor="text1"/>
              </w:rPr>
              <w:t xml:space="preserve">(Chair), </w:t>
            </w:r>
            <w:r w:rsidR="00F733F8">
              <w:rPr>
                <w:bCs/>
                <w:color w:val="000000" w:themeColor="text1"/>
              </w:rPr>
              <w:t xml:space="preserve">Mike Gleason </w:t>
            </w:r>
            <w:r w:rsidRPr="00B5732D">
              <w:rPr>
                <w:bCs/>
                <w:color w:val="000000" w:themeColor="text1"/>
              </w:rPr>
              <w:t xml:space="preserve">(Vice-Chair) and </w:t>
            </w:r>
            <w:r w:rsidR="00F733F8">
              <w:rPr>
                <w:bCs/>
                <w:color w:val="000000" w:themeColor="text1"/>
              </w:rPr>
              <w:t>David McIntryre</w:t>
            </w:r>
            <w:r w:rsidR="00F733F8" w:rsidRPr="00B5732D">
              <w:rPr>
                <w:bCs/>
                <w:color w:val="000000" w:themeColor="text1"/>
              </w:rPr>
              <w:t xml:space="preserve"> </w:t>
            </w:r>
            <w:r w:rsidRPr="00B5732D">
              <w:rPr>
                <w:bCs/>
                <w:color w:val="000000" w:themeColor="text1"/>
              </w:rPr>
              <w:t>(Secretary)</w:t>
            </w:r>
            <w:r w:rsidR="006616DD">
              <w:rPr>
                <w:bCs/>
                <w:color w:val="000000" w:themeColor="text1"/>
              </w:rPr>
              <w:t>.</w:t>
            </w:r>
          </w:p>
          <w:p w:rsidR="00215985" w:rsidRPr="00F71011" w:rsidRDefault="001843B9" w:rsidP="00C77A5A">
            <w:pPr>
              <w:numPr>
                <w:ilvl w:val="0"/>
                <w:numId w:val="8"/>
              </w:numPr>
              <w:jc w:val="both"/>
            </w:pPr>
            <w:r w:rsidRPr="00B5732D">
              <w:rPr>
                <w:b/>
                <w:bCs/>
                <w:color w:val="000000" w:themeColor="text1"/>
                <w:u w:val="single"/>
              </w:rPr>
              <w:t>Meeting</w:t>
            </w:r>
            <w:r w:rsidRPr="00B5732D">
              <w:rPr>
                <w:bCs/>
                <w:color w:val="000000" w:themeColor="text1"/>
              </w:rPr>
              <w:t xml:space="preserve"> </w:t>
            </w:r>
            <w:r w:rsidR="006616DD">
              <w:t xml:space="preserve">The Academic Policy Committee </w:t>
            </w:r>
            <w:r w:rsidR="001F104D">
              <w:t>was scheduled to meet</w:t>
            </w:r>
            <w:r w:rsidR="00083FB7" w:rsidRPr="00B5732D">
              <w:rPr>
                <w:bCs/>
              </w:rPr>
              <w:t xml:space="preserve"> on </w:t>
            </w:r>
            <w:r w:rsidR="001F104D">
              <w:rPr>
                <w:bCs/>
              </w:rPr>
              <w:t>2 Dec 2016</w:t>
            </w:r>
            <w:r w:rsidR="00083FB7" w:rsidRPr="00B5732D">
              <w:rPr>
                <w:bCs/>
              </w:rPr>
              <w:t xml:space="preserve"> from 2:00pm to 3:15pm</w:t>
            </w:r>
            <w:r w:rsidR="001F104D">
              <w:rPr>
                <w:bCs/>
              </w:rPr>
              <w:t xml:space="preserve"> but had no quorum</w:t>
            </w:r>
            <w:r w:rsidR="00083FB7" w:rsidRPr="00B5732D">
              <w:rPr>
                <w:bCs/>
              </w:rPr>
              <w:t xml:space="preserve">. </w:t>
            </w:r>
            <w:r w:rsidR="001F104D">
              <w:rPr>
                <w:bCs/>
              </w:rPr>
              <w:t>Even so, t</w:t>
            </w:r>
            <w:r w:rsidR="00083FB7" w:rsidRPr="00B5732D">
              <w:rPr>
                <w:bCs/>
              </w:rPr>
              <w:t>he following topics were discussed</w:t>
            </w:r>
            <w:r w:rsidR="001F104D">
              <w:rPr>
                <w:bCs/>
              </w:rPr>
              <w:t xml:space="preserve"> by those able to be in </w:t>
            </w:r>
            <w:r w:rsidR="001F104D" w:rsidRPr="00F71011">
              <w:rPr>
                <w:bCs/>
              </w:rPr>
              <w:t>attendance</w:t>
            </w:r>
            <w:r w:rsidR="00B5732D" w:rsidRPr="00F71011">
              <w:t>.</w:t>
            </w:r>
          </w:p>
          <w:p w:rsidR="00F71011" w:rsidRPr="00F71011" w:rsidRDefault="00F71011" w:rsidP="00ED73E9">
            <w:pPr>
              <w:numPr>
                <w:ilvl w:val="1"/>
                <w:numId w:val="8"/>
              </w:numPr>
              <w:ind w:left="698"/>
              <w:jc w:val="both"/>
            </w:pPr>
            <w:r w:rsidRPr="00F71011">
              <w:rPr>
                <w:b/>
                <w:u w:val="single"/>
              </w:rPr>
              <w:t>No quorum</w:t>
            </w:r>
            <w:r w:rsidRPr="00F71011">
              <w:t xml:space="preserve"> APC did not have a quorum </w:t>
            </w:r>
            <w:r w:rsidR="00EB26CB">
              <w:t xml:space="preserve">and thus </w:t>
            </w:r>
            <w:r w:rsidR="00FF1E94">
              <w:t>could not officially conduct business. Those who were present discussed the following</w:t>
            </w:r>
            <w:r w:rsidR="00EB26CB">
              <w:t xml:space="preserve"> items</w:t>
            </w:r>
            <w:r w:rsidR="00FF1E94">
              <w:t>.</w:t>
            </w:r>
          </w:p>
          <w:p w:rsidR="00F71011" w:rsidRPr="00F71011" w:rsidRDefault="00F71011" w:rsidP="00ED73E9">
            <w:pPr>
              <w:numPr>
                <w:ilvl w:val="1"/>
                <w:numId w:val="8"/>
              </w:numPr>
              <w:ind w:left="698"/>
              <w:jc w:val="both"/>
            </w:pPr>
            <w:r w:rsidRPr="00F71011">
              <w:rPr>
                <w:b/>
                <w:u w:val="single"/>
              </w:rPr>
              <w:t>Information Items</w:t>
            </w:r>
            <w:r w:rsidRPr="00F71011">
              <w:t xml:space="preserve"> Two APC subcommittees have engaged in activity since the last ECUS</w:t>
            </w:r>
            <w:r w:rsidR="00547EA7">
              <w:t>-SCC</w:t>
            </w:r>
            <w:r w:rsidRPr="00F71011">
              <w:t xml:space="preserve"> meeting, and will be reporting to APC at </w:t>
            </w:r>
            <w:r w:rsidR="00F53876">
              <w:t>its 3 Feb 2017</w:t>
            </w:r>
            <w:r w:rsidRPr="00F71011">
              <w:t xml:space="preserve"> meeting.</w:t>
            </w:r>
          </w:p>
          <w:p w:rsidR="00F71011" w:rsidRPr="00F71011" w:rsidRDefault="00F71011" w:rsidP="00F71011">
            <w:pPr>
              <w:numPr>
                <w:ilvl w:val="2"/>
                <w:numId w:val="8"/>
              </w:numPr>
              <w:ind w:left="968"/>
              <w:jc w:val="both"/>
            </w:pPr>
            <w:r w:rsidRPr="00F71011">
              <w:t>Subcommittee Report on motion for a common syllabus statement related to Emergency Action Plans.</w:t>
            </w:r>
          </w:p>
          <w:p w:rsidR="00FE769E" w:rsidRPr="00EB7DBC" w:rsidRDefault="00F71011" w:rsidP="002E60A8">
            <w:pPr>
              <w:numPr>
                <w:ilvl w:val="2"/>
                <w:numId w:val="8"/>
              </w:numPr>
              <w:ind w:left="968"/>
              <w:jc w:val="both"/>
            </w:pPr>
            <w:r w:rsidRPr="00F71011">
              <w:t xml:space="preserve">Subcommittee Report on meeting with Jeanne Sewell to further </w:t>
            </w:r>
            <w:r w:rsidR="002E60A8">
              <w:t xml:space="preserve">committee </w:t>
            </w:r>
            <w:r w:rsidRPr="00F71011">
              <w:t>discuss</w:t>
            </w:r>
            <w:r w:rsidR="002E60A8">
              <w:t>ion of any online teaching and learning issues.</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Curriculum and Assessment Policy Committee (CAPC)</w:t>
            </w:r>
          </w:p>
          <w:p w:rsidR="001843B9" w:rsidRDefault="001843B9" w:rsidP="001843B9">
            <w:pPr>
              <w:tabs>
                <w:tab w:val="left" w:pos="0"/>
              </w:tabs>
              <w:rPr>
                <w:b/>
                <w:bCs/>
              </w:rPr>
            </w:pPr>
          </w:p>
          <w:p w:rsidR="001843B9" w:rsidRDefault="00EF3B74" w:rsidP="00EF3B74">
            <w:pPr>
              <w:tabs>
                <w:tab w:val="left" w:pos="0"/>
              </w:tabs>
              <w:rPr>
                <w:b/>
                <w:bCs/>
              </w:rPr>
            </w:pPr>
            <w:r>
              <w:rPr>
                <w:b/>
                <w:bCs/>
              </w:rPr>
              <w:t>Lyndall Muschell</w:t>
            </w:r>
          </w:p>
        </w:tc>
        <w:tc>
          <w:tcPr>
            <w:tcW w:w="4586" w:type="dxa"/>
          </w:tcPr>
          <w:p w:rsidR="00DC2B46" w:rsidRPr="002904D2" w:rsidRDefault="001843B9" w:rsidP="002C44B2">
            <w:pPr>
              <w:pStyle w:val="ListParagraph"/>
              <w:numPr>
                <w:ilvl w:val="0"/>
                <w:numId w:val="6"/>
              </w:numPr>
              <w:ind w:left="338"/>
              <w:jc w:val="both"/>
            </w:pPr>
            <w:r w:rsidRPr="002904D2">
              <w:rPr>
                <w:b/>
                <w:u w:val="single"/>
              </w:rPr>
              <w:t>Motions</w:t>
            </w:r>
            <w:r w:rsidRPr="002904D2">
              <w:t xml:space="preserve"> CAPC </w:t>
            </w:r>
            <w:r w:rsidR="002C44B2">
              <w:t>has</w:t>
            </w:r>
            <w:r w:rsidRPr="002904D2">
              <w:t xml:space="preserve"> </w:t>
            </w:r>
            <w:r w:rsidR="003D7DC5">
              <w:t>three</w:t>
            </w:r>
            <w:r w:rsidR="00B5732D" w:rsidRPr="002904D2">
              <w:t xml:space="preserve"> motion</w:t>
            </w:r>
            <w:r w:rsidR="002904D2">
              <w:t>s</w:t>
            </w:r>
            <w:r w:rsidRPr="002904D2">
              <w:t xml:space="preserve"> to submit for </w:t>
            </w:r>
            <w:r w:rsidR="00987D28">
              <w:t>university senate</w:t>
            </w:r>
            <w:r w:rsidRPr="002904D2">
              <w:t xml:space="preserve"> consideration at its </w:t>
            </w:r>
            <w:r w:rsidR="0027349A">
              <w:t>20 Jan 2017</w:t>
            </w:r>
            <w:r w:rsidRPr="002904D2">
              <w:t xml:space="preserve"> meeting.</w:t>
            </w:r>
            <w:r w:rsidR="002904D2">
              <w:t xml:space="preserve"> The topics of these motions are provided </w:t>
            </w:r>
            <w:r w:rsidR="00D162DF">
              <w:t xml:space="preserve">below </w:t>
            </w:r>
            <w:r w:rsidR="00306487">
              <w:t>in</w:t>
            </w:r>
            <w:r w:rsidR="00935167">
              <w:t xml:space="preserve"> 3.</w:t>
            </w:r>
            <w:r w:rsidR="003D7DC5">
              <w:t>a</w:t>
            </w:r>
            <w:r w:rsidR="00D162DF">
              <w:t>.</w:t>
            </w:r>
          </w:p>
          <w:p w:rsidR="00B5732D" w:rsidRPr="002904D2" w:rsidRDefault="001843B9" w:rsidP="00C77A5A">
            <w:pPr>
              <w:numPr>
                <w:ilvl w:val="0"/>
                <w:numId w:val="6"/>
              </w:numPr>
              <w:ind w:left="337"/>
              <w:jc w:val="both"/>
              <w:rPr>
                <w:rFonts w:eastAsia="Calibri"/>
              </w:rPr>
            </w:pPr>
            <w:r w:rsidRPr="002904D2">
              <w:rPr>
                <w:b/>
                <w:bCs/>
                <w:u w:val="single"/>
              </w:rPr>
              <w:t>Officers</w:t>
            </w:r>
            <w:r w:rsidRPr="002904D2">
              <w:rPr>
                <w:bCs/>
              </w:rPr>
              <w:t xml:space="preserve"> The 201</w:t>
            </w:r>
            <w:r w:rsidR="003A2F26">
              <w:rPr>
                <w:bCs/>
              </w:rPr>
              <w:t>6</w:t>
            </w:r>
            <w:r w:rsidRPr="002904D2">
              <w:rPr>
                <w:bCs/>
              </w:rPr>
              <w:t>-1</w:t>
            </w:r>
            <w:r w:rsidR="003A2F26">
              <w:rPr>
                <w:bCs/>
              </w:rPr>
              <w:t>7</w:t>
            </w:r>
            <w:r w:rsidRPr="002904D2">
              <w:rPr>
                <w:bCs/>
              </w:rPr>
              <w:t xml:space="preserve"> CAPC officers are </w:t>
            </w:r>
            <w:r w:rsidR="00F733F8">
              <w:rPr>
                <w:bCs/>
              </w:rPr>
              <w:t xml:space="preserve">Lyndall Muschell </w:t>
            </w:r>
            <w:r w:rsidRPr="002904D2">
              <w:rPr>
                <w:bCs/>
              </w:rPr>
              <w:t xml:space="preserve">(Chair), </w:t>
            </w:r>
            <w:r w:rsidR="00F733F8" w:rsidRPr="002904D2">
              <w:rPr>
                <w:bCs/>
              </w:rPr>
              <w:t xml:space="preserve">Angel Abney </w:t>
            </w:r>
            <w:r w:rsidRPr="002904D2">
              <w:rPr>
                <w:bCs/>
              </w:rPr>
              <w:t xml:space="preserve">(Vice-Chair) and </w:t>
            </w:r>
            <w:r w:rsidR="00F733F8">
              <w:rPr>
                <w:bCs/>
              </w:rPr>
              <w:t>Josie Doss</w:t>
            </w:r>
            <w:r w:rsidRPr="002904D2">
              <w:rPr>
                <w:bCs/>
              </w:rPr>
              <w:t xml:space="preserve"> (Secretary).</w:t>
            </w:r>
          </w:p>
          <w:p w:rsidR="00B2721B" w:rsidRDefault="009A1D4D" w:rsidP="00C77A5A">
            <w:pPr>
              <w:numPr>
                <w:ilvl w:val="0"/>
                <w:numId w:val="6"/>
              </w:numPr>
              <w:ind w:left="337"/>
              <w:jc w:val="both"/>
              <w:rPr>
                <w:rFonts w:eastAsia="Calibri"/>
              </w:rPr>
            </w:pPr>
            <w:r w:rsidRPr="002904D2">
              <w:rPr>
                <w:b/>
                <w:bCs/>
                <w:u w:val="single"/>
              </w:rPr>
              <w:lastRenderedPageBreak/>
              <w:t>Meeting</w:t>
            </w:r>
            <w:r w:rsidRPr="002904D2">
              <w:rPr>
                <w:bCs/>
              </w:rPr>
              <w:t xml:space="preserve"> </w:t>
            </w:r>
            <w:r w:rsidR="00B5732D" w:rsidRPr="002904D2">
              <w:rPr>
                <w:bCs/>
              </w:rPr>
              <w:t xml:space="preserve">The Curriculum and Assessment Policy Committee met on </w:t>
            </w:r>
            <w:r w:rsidR="001F104D">
              <w:rPr>
                <w:bCs/>
              </w:rPr>
              <w:t>2 Dec 2016</w:t>
            </w:r>
            <w:r w:rsidR="00B5732D" w:rsidRPr="002904D2">
              <w:rPr>
                <w:bCs/>
              </w:rPr>
              <w:t xml:space="preserve"> from 2:00pm to 3:15pm. The following topics were discussed</w:t>
            </w:r>
            <w:r w:rsidR="00653BA6" w:rsidRPr="002904D2">
              <w:rPr>
                <w:bCs/>
              </w:rPr>
              <w:t>.</w:t>
            </w:r>
          </w:p>
          <w:p w:rsidR="0085141F" w:rsidRDefault="0085141F" w:rsidP="0085141F">
            <w:pPr>
              <w:numPr>
                <w:ilvl w:val="1"/>
                <w:numId w:val="6"/>
              </w:numPr>
              <w:ind w:left="698"/>
              <w:jc w:val="both"/>
              <w:rPr>
                <w:rFonts w:eastAsia="Calibri"/>
              </w:rPr>
            </w:pPr>
            <w:r w:rsidRPr="0085141F">
              <w:rPr>
                <w:rFonts w:eastAsia="Calibri"/>
                <w:b/>
                <w:u w:val="single"/>
              </w:rPr>
              <w:t>Motions</w:t>
            </w:r>
            <w:r w:rsidRPr="0085141F">
              <w:rPr>
                <w:rFonts w:eastAsia="Calibri"/>
                <w:b/>
              </w:rPr>
              <w:t xml:space="preserve"> </w:t>
            </w:r>
            <w:r w:rsidRPr="0085141F">
              <w:rPr>
                <w:rFonts w:eastAsia="Calibri"/>
              </w:rPr>
              <w:t>The following Action Items were deliberated and voted u</w:t>
            </w:r>
            <w:r w:rsidR="0039358F">
              <w:rPr>
                <w:rFonts w:eastAsia="Calibri"/>
              </w:rPr>
              <w:t>pon. The result of these votes</w:t>
            </w:r>
            <w:r w:rsidR="002E60A8">
              <w:rPr>
                <w:rFonts w:eastAsia="Calibri"/>
              </w:rPr>
              <w:t>,</w:t>
            </w:r>
            <w:r w:rsidR="0039358F">
              <w:rPr>
                <w:rFonts w:eastAsia="Calibri"/>
              </w:rPr>
              <w:t xml:space="preserve"> documenting CAPC actions</w:t>
            </w:r>
            <w:r w:rsidR="002E60A8">
              <w:rPr>
                <w:rFonts w:eastAsia="Calibri"/>
              </w:rPr>
              <w:t>,</w:t>
            </w:r>
            <w:r w:rsidRPr="0085141F">
              <w:rPr>
                <w:rFonts w:eastAsia="Calibri"/>
              </w:rPr>
              <w:t xml:space="preserve"> are </w:t>
            </w:r>
            <w:r w:rsidR="0039358F">
              <w:rPr>
                <w:rFonts w:eastAsia="Calibri"/>
              </w:rPr>
              <w:t>given below.</w:t>
            </w:r>
          </w:p>
          <w:p w:rsidR="003022C3" w:rsidRDefault="003022C3" w:rsidP="003022C3">
            <w:pPr>
              <w:numPr>
                <w:ilvl w:val="2"/>
                <w:numId w:val="6"/>
              </w:numPr>
              <w:ind w:left="968"/>
              <w:jc w:val="both"/>
              <w:rPr>
                <w:rFonts w:eastAsia="Calibri"/>
                <w:u w:val="single"/>
              </w:rPr>
            </w:pPr>
            <w:r>
              <w:rPr>
                <w:rFonts w:eastAsia="Calibri"/>
                <w:u w:val="single"/>
              </w:rPr>
              <w:t>Deactivation</w:t>
            </w:r>
            <w:r w:rsidR="005D127B">
              <w:rPr>
                <w:rFonts w:eastAsia="Calibri"/>
                <w:u w:val="single"/>
              </w:rPr>
              <w:t xml:space="preserve"> Bachelor</w:t>
            </w:r>
            <w:r w:rsidRPr="003022C3">
              <w:rPr>
                <w:rFonts w:eastAsia="Calibri"/>
                <w:u w:val="single"/>
              </w:rPr>
              <w:t xml:space="preserve"> of Music Educa</w:t>
            </w:r>
            <w:r>
              <w:rPr>
                <w:rFonts w:eastAsia="Calibri"/>
                <w:u w:val="single"/>
              </w:rPr>
              <w:t>tion</w:t>
            </w:r>
            <w:r w:rsidRPr="003022C3">
              <w:rPr>
                <w:rFonts w:eastAsia="Calibri"/>
              </w:rPr>
              <w:t xml:space="preserve"> approved</w:t>
            </w:r>
          </w:p>
          <w:p w:rsidR="003022C3" w:rsidRDefault="003022C3" w:rsidP="003022C3">
            <w:pPr>
              <w:numPr>
                <w:ilvl w:val="2"/>
                <w:numId w:val="6"/>
              </w:numPr>
              <w:ind w:left="968"/>
              <w:jc w:val="both"/>
              <w:rPr>
                <w:rFonts w:eastAsia="Calibri"/>
                <w:u w:val="single"/>
              </w:rPr>
            </w:pPr>
            <w:r>
              <w:rPr>
                <w:rFonts w:eastAsia="Calibri"/>
                <w:u w:val="single"/>
              </w:rPr>
              <w:t xml:space="preserve">Deactivation </w:t>
            </w:r>
            <w:r w:rsidRPr="003022C3">
              <w:rPr>
                <w:rFonts w:eastAsia="Calibri"/>
                <w:u w:val="single"/>
              </w:rPr>
              <w:t xml:space="preserve">Bachelors of </w:t>
            </w:r>
            <w:r>
              <w:rPr>
                <w:rFonts w:eastAsia="Calibri"/>
                <w:u w:val="single"/>
              </w:rPr>
              <w:t>Science in Outdoor Education</w:t>
            </w:r>
            <w:r w:rsidRPr="003022C3">
              <w:rPr>
                <w:rFonts w:eastAsia="Calibri"/>
              </w:rPr>
              <w:t xml:space="preserve"> not approved</w:t>
            </w:r>
          </w:p>
          <w:p w:rsidR="003022C3" w:rsidRDefault="003022C3" w:rsidP="003022C3">
            <w:pPr>
              <w:numPr>
                <w:ilvl w:val="2"/>
                <w:numId w:val="6"/>
              </w:numPr>
              <w:ind w:left="968"/>
              <w:jc w:val="both"/>
              <w:rPr>
                <w:rFonts w:eastAsia="Calibri"/>
                <w:u w:val="single"/>
              </w:rPr>
            </w:pPr>
            <w:r>
              <w:rPr>
                <w:rFonts w:eastAsia="Calibri"/>
                <w:u w:val="single"/>
              </w:rPr>
              <w:t xml:space="preserve">Certificate </w:t>
            </w:r>
            <w:r w:rsidRPr="003022C3">
              <w:rPr>
                <w:rFonts w:eastAsia="Calibri"/>
                <w:u w:val="single"/>
              </w:rPr>
              <w:t>Geographic Information Science</w:t>
            </w:r>
            <w:r w:rsidRPr="003022C3">
              <w:rPr>
                <w:rFonts w:eastAsia="Calibri"/>
              </w:rPr>
              <w:t xml:space="preserve"> approved unanimously</w:t>
            </w:r>
          </w:p>
          <w:p w:rsidR="00573109" w:rsidRPr="003022C3" w:rsidRDefault="003022C3" w:rsidP="003022C3">
            <w:pPr>
              <w:numPr>
                <w:ilvl w:val="2"/>
                <w:numId w:val="6"/>
              </w:numPr>
              <w:ind w:left="968"/>
              <w:jc w:val="both"/>
              <w:rPr>
                <w:rFonts w:eastAsia="Calibri"/>
                <w:u w:val="single"/>
              </w:rPr>
            </w:pPr>
            <w:r>
              <w:rPr>
                <w:rFonts w:eastAsia="Calibri"/>
                <w:u w:val="single"/>
              </w:rPr>
              <w:t xml:space="preserve">Certificate </w:t>
            </w:r>
            <w:r w:rsidRPr="003022C3">
              <w:rPr>
                <w:rFonts w:eastAsia="Calibri"/>
                <w:u w:val="single"/>
              </w:rPr>
              <w:t>Sustainability</w:t>
            </w:r>
            <w:r w:rsidRPr="002E60A8">
              <w:rPr>
                <w:rFonts w:eastAsia="Calibri"/>
              </w:rPr>
              <w:t xml:space="preserve"> </w:t>
            </w:r>
            <w:r w:rsidRPr="003022C3">
              <w:rPr>
                <w:rFonts w:eastAsia="Calibri"/>
              </w:rPr>
              <w:t>approved unanimously</w:t>
            </w:r>
          </w:p>
          <w:p w:rsidR="00B5040B" w:rsidRPr="00B5040B" w:rsidRDefault="00B5040B" w:rsidP="00B5040B">
            <w:pPr>
              <w:ind w:left="698"/>
              <w:jc w:val="both"/>
              <w:rPr>
                <w:rFonts w:eastAsia="Calibri"/>
              </w:rPr>
            </w:pPr>
            <w:r>
              <w:t>Each of the</w:t>
            </w:r>
            <w:r w:rsidR="002E60A8">
              <w:t xml:space="preserve"> approved</w:t>
            </w:r>
            <w:r>
              <w:t xml:space="preserve"> items will be submitted as a motion to University Senate for deliberation and a vote.</w:t>
            </w:r>
          </w:p>
          <w:p w:rsidR="0085141F" w:rsidRDefault="0085141F" w:rsidP="0085141F">
            <w:pPr>
              <w:numPr>
                <w:ilvl w:val="1"/>
                <w:numId w:val="6"/>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 xml:space="preserve">ed with </w:t>
            </w:r>
            <w:r w:rsidR="006616DD">
              <w:rPr>
                <w:rFonts w:eastAsia="Calibri"/>
              </w:rPr>
              <w:t>CAPC</w:t>
            </w:r>
            <w:r>
              <w:rPr>
                <w:rFonts w:eastAsia="Calibri"/>
              </w:rPr>
              <w:t xml:space="preserve">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4A5B2F" w:rsidRPr="004A5B2F" w:rsidRDefault="004A5B2F" w:rsidP="004A5B2F">
            <w:pPr>
              <w:numPr>
                <w:ilvl w:val="2"/>
                <w:numId w:val="6"/>
              </w:numPr>
              <w:ind w:left="968"/>
              <w:jc w:val="both"/>
              <w:rPr>
                <w:rFonts w:eastAsia="Calibri"/>
                <w:u w:val="single"/>
              </w:rPr>
            </w:pPr>
            <w:r>
              <w:rPr>
                <w:rFonts w:eastAsia="Calibri"/>
                <w:u w:val="single"/>
              </w:rPr>
              <w:t>New Course Proposals</w:t>
            </w:r>
            <w:r>
              <w:rPr>
                <w:rFonts w:eastAsia="Calibri"/>
              </w:rPr>
              <w:t xml:space="preserve"> BLST 4320, 4325;</w:t>
            </w:r>
            <w:r w:rsidRPr="004A5B2F">
              <w:rPr>
                <w:rFonts w:eastAsia="Calibri"/>
              </w:rPr>
              <w:t xml:space="preserve"> GEOG 4105, 4115</w:t>
            </w:r>
            <w:r>
              <w:rPr>
                <w:rFonts w:eastAsia="Calibri"/>
              </w:rPr>
              <w:t>;</w:t>
            </w:r>
            <w:r w:rsidRPr="004A5B2F">
              <w:rPr>
                <w:rFonts w:eastAsia="Calibri"/>
              </w:rPr>
              <w:t xml:space="preserve"> IDST 2050, 4995</w:t>
            </w:r>
            <w:r>
              <w:rPr>
                <w:rFonts w:eastAsia="Calibri"/>
              </w:rPr>
              <w:t>; PHIL 4100, 4320, 4325, 4330;</w:t>
            </w:r>
            <w:r w:rsidRPr="004A5B2F">
              <w:rPr>
                <w:rFonts w:eastAsia="Calibri"/>
              </w:rPr>
              <w:t xml:space="preserve"> SOCI 3433</w:t>
            </w:r>
          </w:p>
          <w:p w:rsidR="004A5B2F" w:rsidRDefault="004A5B2F" w:rsidP="004A5B2F">
            <w:pPr>
              <w:numPr>
                <w:ilvl w:val="2"/>
                <w:numId w:val="6"/>
              </w:numPr>
              <w:ind w:left="968"/>
              <w:jc w:val="both"/>
              <w:rPr>
                <w:rFonts w:eastAsia="Calibri"/>
                <w:u w:val="single"/>
              </w:rPr>
            </w:pPr>
            <w:r w:rsidRPr="004A5B2F">
              <w:rPr>
                <w:rFonts w:eastAsia="Calibri"/>
                <w:u w:val="single"/>
              </w:rPr>
              <w:t>MAT in Middle Grades Edu</w:t>
            </w:r>
            <w:r>
              <w:rPr>
                <w:rFonts w:eastAsia="Calibri"/>
                <w:u w:val="single"/>
              </w:rPr>
              <w:t>cation MAED Course Corrections</w:t>
            </w:r>
            <w:r w:rsidRPr="004A5B2F">
              <w:rPr>
                <w:rFonts w:eastAsia="Calibri"/>
              </w:rPr>
              <w:t xml:space="preserve"> Prior records for the program of study include MATH 5001 and 5002. The prefix for these two courses has been corrected to reflect MAED 5001 and MAED 5002.</w:t>
            </w:r>
          </w:p>
          <w:p w:rsidR="004A5B2F" w:rsidRDefault="004A5B2F" w:rsidP="004A5B2F">
            <w:pPr>
              <w:numPr>
                <w:ilvl w:val="2"/>
                <w:numId w:val="6"/>
              </w:numPr>
              <w:ind w:left="968"/>
              <w:jc w:val="both"/>
              <w:rPr>
                <w:rFonts w:eastAsia="Calibri"/>
              </w:rPr>
            </w:pPr>
            <w:r>
              <w:rPr>
                <w:rFonts w:eastAsia="Calibri"/>
                <w:u w:val="single"/>
              </w:rPr>
              <w:t>GY2Y Course Approvals</w:t>
            </w:r>
          </w:p>
          <w:p w:rsidR="004A5B2F" w:rsidRDefault="004A5B2F" w:rsidP="004A5B2F">
            <w:pPr>
              <w:numPr>
                <w:ilvl w:val="3"/>
                <w:numId w:val="6"/>
              </w:numPr>
              <w:ind w:left="1328"/>
              <w:jc w:val="both"/>
              <w:rPr>
                <w:rFonts w:eastAsia="Calibri"/>
              </w:rPr>
            </w:pPr>
            <w:r>
              <w:rPr>
                <w:rFonts w:eastAsia="Calibri"/>
              </w:rPr>
              <w:t>GC2Y Global Horror;</w:t>
            </w:r>
          </w:p>
          <w:p w:rsidR="004A5B2F" w:rsidRDefault="004A5B2F" w:rsidP="004A5B2F">
            <w:pPr>
              <w:numPr>
                <w:ilvl w:val="3"/>
                <w:numId w:val="6"/>
              </w:numPr>
              <w:ind w:left="1328"/>
              <w:jc w:val="both"/>
              <w:rPr>
                <w:rFonts w:eastAsia="Calibri"/>
              </w:rPr>
            </w:pPr>
            <w:r w:rsidRPr="004A5B2F">
              <w:rPr>
                <w:rFonts w:eastAsia="Calibri"/>
              </w:rPr>
              <w:lastRenderedPageBreak/>
              <w:t>GC2Y Knowledge Democracy;</w:t>
            </w:r>
          </w:p>
          <w:p w:rsidR="004A5B2F" w:rsidRDefault="004A5B2F" w:rsidP="004A5B2F">
            <w:pPr>
              <w:numPr>
                <w:ilvl w:val="3"/>
                <w:numId w:val="6"/>
              </w:numPr>
              <w:ind w:left="1328"/>
              <w:jc w:val="both"/>
              <w:rPr>
                <w:rFonts w:eastAsia="Calibri"/>
              </w:rPr>
            </w:pPr>
            <w:r w:rsidRPr="004A5B2F">
              <w:rPr>
                <w:rFonts w:eastAsia="Calibri"/>
              </w:rPr>
              <w:t>GC2Y Disability and Culture in Tanzania (Study Abroad);</w:t>
            </w:r>
          </w:p>
          <w:p w:rsidR="004A5B2F" w:rsidRDefault="004A5B2F" w:rsidP="004A5B2F">
            <w:pPr>
              <w:numPr>
                <w:ilvl w:val="3"/>
                <w:numId w:val="6"/>
              </w:numPr>
              <w:ind w:left="1328"/>
              <w:jc w:val="both"/>
              <w:rPr>
                <w:rFonts w:eastAsia="Calibri"/>
              </w:rPr>
            </w:pPr>
            <w:r w:rsidRPr="004A5B2F">
              <w:rPr>
                <w:rFonts w:eastAsia="Calibri"/>
              </w:rPr>
              <w:t>GC2Y Culture, Nature, and Empire;</w:t>
            </w:r>
          </w:p>
          <w:p w:rsidR="00013F0C" w:rsidRPr="004A5B2F" w:rsidRDefault="004A5B2F" w:rsidP="004A5B2F">
            <w:pPr>
              <w:numPr>
                <w:ilvl w:val="3"/>
                <w:numId w:val="6"/>
              </w:numPr>
              <w:ind w:left="1328"/>
              <w:jc w:val="both"/>
              <w:rPr>
                <w:rFonts w:eastAsia="Calibri"/>
              </w:rPr>
            </w:pPr>
            <w:r w:rsidRPr="004A5B2F">
              <w:rPr>
                <w:rFonts w:eastAsia="Calibri"/>
              </w:rPr>
              <w:t>GC2Y Bodies, Borders, and Bound</w:t>
            </w:r>
            <w:r w:rsidR="00B5040B" w:rsidRPr="004A5B2F">
              <w:t>.</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084EBF" w:rsidTr="00044DD7">
        <w:trPr>
          <w:trHeight w:val="540"/>
        </w:trPr>
        <w:tc>
          <w:tcPr>
            <w:tcW w:w="3131" w:type="dxa"/>
            <w:tcBorders>
              <w:left w:val="double" w:sz="4" w:space="0" w:color="auto"/>
            </w:tcBorders>
          </w:tcPr>
          <w:p w:rsidR="00084EBF" w:rsidRDefault="00084EBF" w:rsidP="002026C1">
            <w:pPr>
              <w:tabs>
                <w:tab w:val="left" w:pos="0"/>
              </w:tabs>
              <w:rPr>
                <w:b/>
                <w:bCs/>
              </w:rPr>
            </w:pPr>
            <w:r>
              <w:rPr>
                <w:b/>
                <w:bCs/>
              </w:rPr>
              <w:lastRenderedPageBreak/>
              <w:t>Subcommittee on the Core Curriculum (SoCC)</w:t>
            </w:r>
          </w:p>
          <w:p w:rsidR="00084EBF" w:rsidRDefault="00084EBF" w:rsidP="002026C1">
            <w:pPr>
              <w:tabs>
                <w:tab w:val="left" w:pos="0"/>
              </w:tabs>
              <w:rPr>
                <w:b/>
                <w:bCs/>
              </w:rPr>
            </w:pPr>
          </w:p>
          <w:p w:rsidR="00084EBF" w:rsidRDefault="00084EBF" w:rsidP="002026C1">
            <w:pPr>
              <w:tabs>
                <w:tab w:val="left" w:pos="0"/>
              </w:tabs>
              <w:rPr>
                <w:b/>
                <w:bCs/>
              </w:rPr>
            </w:pPr>
            <w:r>
              <w:rPr>
                <w:b/>
                <w:bCs/>
              </w:rPr>
              <w:t>Mary Magoulick</w:t>
            </w:r>
          </w:p>
        </w:tc>
        <w:tc>
          <w:tcPr>
            <w:tcW w:w="4586" w:type="dxa"/>
          </w:tcPr>
          <w:p w:rsidR="00084EBF" w:rsidRPr="00084EBF" w:rsidRDefault="00084EBF" w:rsidP="00B85C88">
            <w:pPr>
              <w:pStyle w:val="ListParagraph"/>
              <w:numPr>
                <w:ilvl w:val="0"/>
                <w:numId w:val="14"/>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27349A">
              <w:rPr>
                <w:color w:val="000000" w:themeColor="text1"/>
              </w:rPr>
              <w:t>20 Jan 2017</w:t>
            </w:r>
            <w:r w:rsidRPr="00B5732D">
              <w:rPr>
                <w:color w:val="000000" w:themeColor="text1"/>
              </w:rPr>
              <w:t xml:space="preserve"> meeting.</w:t>
            </w:r>
          </w:p>
          <w:p w:rsidR="00084EBF" w:rsidRPr="007D20E5" w:rsidRDefault="00084EBF" w:rsidP="00B85C88">
            <w:pPr>
              <w:pStyle w:val="ListParagraph"/>
              <w:numPr>
                <w:ilvl w:val="0"/>
                <w:numId w:val="14"/>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7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084EBF" w:rsidRDefault="007D20E5" w:rsidP="00B847A2">
            <w:pPr>
              <w:pStyle w:val="ListParagraph"/>
              <w:numPr>
                <w:ilvl w:val="0"/>
                <w:numId w:val="14"/>
              </w:numPr>
              <w:ind w:left="338"/>
              <w:jc w:val="both"/>
            </w:pPr>
            <w:r w:rsidRPr="007D20E5">
              <w:rPr>
                <w:b/>
                <w:u w:val="single"/>
              </w:rPr>
              <w:t>Meetings</w:t>
            </w:r>
            <w:r w:rsidR="00084EBF" w:rsidRPr="007D20E5">
              <w:t xml:space="preserve"> </w:t>
            </w:r>
            <w:r w:rsidRPr="007D20E5">
              <w:t>The following summarizes SoCC activi</w:t>
            </w:r>
            <w:r>
              <w:t xml:space="preserve">ty </w:t>
            </w:r>
            <w:r w:rsidRPr="00084EBF">
              <w:t>at its recent meetings</w:t>
            </w:r>
            <w:r w:rsidR="00B847A2">
              <w:t>.</w:t>
            </w:r>
          </w:p>
          <w:p w:rsidR="007D20E5" w:rsidRDefault="007D20E5" w:rsidP="007D20E5">
            <w:pPr>
              <w:pStyle w:val="ListParagraph"/>
              <w:numPr>
                <w:ilvl w:val="1"/>
                <w:numId w:val="14"/>
              </w:numPr>
              <w:ind w:left="698"/>
              <w:jc w:val="both"/>
            </w:pPr>
            <w:r w:rsidRPr="007D20E5">
              <w:rPr>
                <w:b/>
                <w:u w:val="single"/>
              </w:rPr>
              <w:t>Area B</w:t>
            </w:r>
            <w:r>
              <w:t xml:space="preserve"> SoCC has been discussing management of Area B Sections for much of this semester.</w:t>
            </w:r>
          </w:p>
          <w:p w:rsidR="007D20E5" w:rsidRDefault="007D20E5" w:rsidP="007D20E5">
            <w:pPr>
              <w:pStyle w:val="ListParagraph"/>
              <w:numPr>
                <w:ilvl w:val="2"/>
                <w:numId w:val="14"/>
              </w:numPr>
              <w:ind w:left="1058"/>
              <w:jc w:val="both"/>
            </w:pPr>
            <w:r>
              <w:rPr>
                <w:b/>
                <w:u w:val="single"/>
              </w:rPr>
              <w:t>Area B Chair</w:t>
            </w:r>
            <w:r>
              <w:t xml:space="preserve"> For many years we have reported to the administration that we believe there should be an acting chair for Area B. Many departments se</w:t>
            </w:r>
            <w:r w:rsidR="00D57A7B">
              <w:t xml:space="preserve">em to conceive of these courses </w:t>
            </w:r>
            <w:r>
              <w:t>as not residing in their departments, and thus they may not monitor their faculty who teach them (reviewing syllabi, assignments, and assessment</w:t>
            </w:r>
            <w:r w:rsidR="00D57A7B">
              <w:t>)</w:t>
            </w:r>
            <w:r>
              <w:t xml:space="preserve"> the way they would with native courses. SoCC has talked (over many years) about various ways we could help facilitate some such oversight. Many years ago Tom Ormond (Associate Provost at the time) was assigned to act as a de </w:t>
            </w:r>
            <w:r>
              <w:lastRenderedPageBreak/>
              <w:t>facto chair, but we believe his primary work in this regard was to check</w:t>
            </w:r>
            <w:r w:rsidR="00D57A7B">
              <w:t xml:space="preserve"> </w:t>
            </w:r>
            <w:r>
              <w:t>SACS qualifications</w:t>
            </w:r>
            <w:r w:rsidR="00D57A7B">
              <w:t xml:space="preserve"> of instructors</w:t>
            </w:r>
            <w:r>
              <w:t xml:space="preserve"> to teach particular topics. Given how many other duties the Associate Provost has, it does not seem feasible to expect them to do a chair's job as well.</w:t>
            </w:r>
          </w:p>
          <w:p w:rsidR="00C005FF" w:rsidRDefault="007D20E5" w:rsidP="007D20E5">
            <w:pPr>
              <w:pStyle w:val="ListParagraph"/>
              <w:numPr>
                <w:ilvl w:val="2"/>
                <w:numId w:val="14"/>
              </w:numPr>
              <w:ind w:left="1058"/>
              <w:jc w:val="both"/>
            </w:pPr>
            <w:r w:rsidRPr="007D20E5">
              <w:rPr>
                <w:b/>
                <w:u w:val="single"/>
              </w:rPr>
              <w:t>Reviewing Sections</w:t>
            </w:r>
            <w:r>
              <w:t xml:space="preserve"> Two years in a row, SoCC members voted to initiate a process of reviewing sections of GC1Y and GC2Y. We also talked to the Provost's office both</w:t>
            </w:r>
            <w:r w:rsidR="00D57A7B">
              <w:t xml:space="preserve"> years to ensure we'd have its</w:t>
            </w:r>
            <w:r>
              <w:t xml:space="preserve"> support. Although many people seemed in favor of this process (voting for it), there remain a few strong voices (on SoCC) of people questioning the value of this proposed process. Discussion continues, and we are hoping that whatever we do will facilitate the best possi</w:t>
            </w:r>
            <w:r w:rsidR="00C005FF">
              <w:t>ble teaching of these sections.</w:t>
            </w:r>
          </w:p>
          <w:p w:rsidR="007D20E5" w:rsidRPr="00B847A2" w:rsidRDefault="00C005FF" w:rsidP="007D20E5">
            <w:pPr>
              <w:pStyle w:val="ListParagraph"/>
              <w:numPr>
                <w:ilvl w:val="2"/>
                <w:numId w:val="14"/>
              </w:numPr>
              <w:ind w:left="1058"/>
              <w:jc w:val="both"/>
            </w:pPr>
            <w:r>
              <w:rPr>
                <w:b/>
                <w:u w:val="single"/>
              </w:rPr>
              <w:t>Next Steps</w:t>
            </w:r>
            <w:r>
              <w:t xml:space="preserve"> </w:t>
            </w:r>
            <w:r w:rsidR="007D20E5">
              <w:t xml:space="preserve">After much discussion all semester, we are now hoping to meet with the chairs next semester to ensure they know that they are responsible for oversight of Area B classes taught by their faculty, and we will attempt to offer documents and information to assist them in such efforts. We will also try to schedule a voluntary forum with Area B instructors to </w:t>
            </w:r>
            <w:r w:rsidR="007D20E5">
              <w:lastRenderedPageBreak/>
              <w:t>discuss teaching in Area B and to answer any questions</w:t>
            </w:r>
            <w:r>
              <w:t>.</w:t>
            </w:r>
          </w:p>
        </w:tc>
        <w:tc>
          <w:tcPr>
            <w:tcW w:w="3420" w:type="dxa"/>
          </w:tcPr>
          <w:p w:rsidR="00084EBF" w:rsidRPr="00BD0FD4" w:rsidRDefault="00084EBF" w:rsidP="00CF36BD"/>
        </w:tc>
        <w:tc>
          <w:tcPr>
            <w:tcW w:w="2898" w:type="dxa"/>
          </w:tcPr>
          <w:p w:rsidR="00084EBF" w:rsidRPr="00F44AAB" w:rsidRDefault="00084EBF" w:rsidP="002026C1">
            <w:pPr>
              <w:jc w:val="both"/>
              <w:rPr>
                <w:rFonts w:eastAsia="Calibri"/>
              </w:rPr>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2026C1" w:rsidRDefault="00EF3B74" w:rsidP="002026C1">
            <w:pPr>
              <w:tabs>
                <w:tab w:val="left" w:pos="0"/>
              </w:tabs>
              <w:rPr>
                <w:b/>
                <w:bCs/>
              </w:rPr>
            </w:pPr>
            <w:r>
              <w:rPr>
                <w:b/>
                <w:bCs/>
              </w:rPr>
              <w:t>Alex Blazer</w:t>
            </w:r>
          </w:p>
        </w:tc>
        <w:tc>
          <w:tcPr>
            <w:tcW w:w="4586" w:type="dxa"/>
          </w:tcPr>
          <w:p w:rsidR="002026C1" w:rsidRDefault="002026C1" w:rsidP="00DC229E">
            <w:pPr>
              <w:pStyle w:val="ListParagraph"/>
              <w:numPr>
                <w:ilvl w:val="0"/>
                <w:numId w:val="17"/>
              </w:numPr>
              <w:jc w:val="both"/>
            </w:pPr>
            <w:r w:rsidRPr="002904D2">
              <w:rPr>
                <w:b/>
                <w:u w:val="single"/>
              </w:rPr>
              <w:t>Motions</w:t>
            </w:r>
            <w:r w:rsidRPr="002904D2">
              <w:t xml:space="preserve"> FAPC has </w:t>
            </w:r>
            <w:r w:rsidR="00C94803">
              <w:t>no</w:t>
            </w:r>
            <w:r w:rsidRPr="002904D2">
              <w:t xml:space="preserve"> motion</w:t>
            </w:r>
            <w:r w:rsidR="00C94803">
              <w:t>s</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27349A">
              <w:t>20 Jan 2017</w:t>
            </w:r>
            <w:r w:rsidR="002959C6">
              <w:t xml:space="preserve"> meeting.</w:t>
            </w:r>
          </w:p>
          <w:p w:rsidR="002026C1" w:rsidRPr="002904D2" w:rsidRDefault="002026C1" w:rsidP="00DC229E">
            <w:pPr>
              <w:numPr>
                <w:ilvl w:val="0"/>
                <w:numId w:val="17"/>
              </w:numPr>
              <w:jc w:val="both"/>
              <w:rPr>
                <w:rFonts w:eastAsia="Calibri"/>
              </w:rPr>
            </w:pPr>
            <w:r w:rsidRPr="002904D2">
              <w:rPr>
                <w:b/>
                <w:bCs/>
                <w:u w:val="single"/>
              </w:rPr>
              <w:t>Officers</w:t>
            </w:r>
            <w:r w:rsidRPr="002904D2">
              <w:rPr>
                <w:bCs/>
              </w:rPr>
              <w:t xml:space="preserve"> The 201</w:t>
            </w:r>
            <w:r w:rsidR="003A2F26">
              <w:rPr>
                <w:bCs/>
              </w:rPr>
              <w:t>6</w:t>
            </w:r>
            <w:r w:rsidRPr="002904D2">
              <w:rPr>
                <w:bCs/>
              </w:rPr>
              <w:t>-</w:t>
            </w:r>
            <w:r w:rsidR="003A2F26">
              <w:rPr>
                <w:bCs/>
              </w:rPr>
              <w:t>17</w:t>
            </w:r>
            <w:r w:rsidRPr="002904D2">
              <w:rPr>
                <w:bCs/>
              </w:rPr>
              <w:t xml:space="preserve"> FAPC officers are </w:t>
            </w:r>
            <w:r w:rsidR="003A2F26" w:rsidRPr="002904D2">
              <w:rPr>
                <w:bCs/>
              </w:rPr>
              <w:t xml:space="preserve">Alex Blazer </w:t>
            </w:r>
            <w:r w:rsidRPr="002904D2">
              <w:rPr>
                <w:bCs/>
              </w:rPr>
              <w:t xml:space="preserve">(Chair), </w:t>
            </w:r>
            <w:r w:rsidR="00B5732D" w:rsidRPr="002904D2">
              <w:rPr>
                <w:bCs/>
              </w:rPr>
              <w:t>Tom Toney</w:t>
            </w:r>
            <w:r w:rsidRPr="002904D2">
              <w:rPr>
                <w:bCs/>
              </w:rPr>
              <w:t xml:space="preserve"> (Vice-Chair) and </w:t>
            </w:r>
            <w:r w:rsidR="003A2F26">
              <w:rPr>
                <w:bCs/>
              </w:rPr>
              <w:t xml:space="preserve">David Johnson </w:t>
            </w:r>
            <w:r w:rsidRPr="002904D2">
              <w:rPr>
                <w:bCs/>
              </w:rPr>
              <w:t>(Secretary).</w:t>
            </w:r>
          </w:p>
          <w:p w:rsidR="00C94803" w:rsidRDefault="002026C1" w:rsidP="00DC229E">
            <w:pPr>
              <w:numPr>
                <w:ilvl w:val="0"/>
                <w:numId w:val="17"/>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1F104D">
              <w:t>2 Dec 2016</w:t>
            </w:r>
            <w:r w:rsidR="00367A04" w:rsidRPr="002904D2">
              <w:t xml:space="preserve"> from 2:00pm to 3:15pm and the following items were discussed</w:t>
            </w:r>
            <w:r w:rsidR="00940412" w:rsidRPr="002904D2">
              <w:t>.</w:t>
            </w:r>
          </w:p>
          <w:p w:rsidR="00AF54E9" w:rsidRDefault="00AF54E9" w:rsidP="00AF54E9">
            <w:pPr>
              <w:numPr>
                <w:ilvl w:val="0"/>
                <w:numId w:val="5"/>
              </w:numPr>
              <w:ind w:left="698"/>
              <w:jc w:val="both"/>
              <w:rPr>
                <w:bCs/>
                <w:u w:val="single"/>
              </w:rPr>
            </w:pPr>
            <w:r w:rsidRPr="00AF54E9">
              <w:rPr>
                <w:b/>
                <w:bCs/>
                <w:u w:val="single"/>
              </w:rPr>
              <w:t>Committee Composition</w:t>
            </w:r>
            <w:r w:rsidRPr="00AF54E9">
              <w:rPr>
                <w:bCs/>
              </w:rPr>
              <w:t xml:space="preserve"> </w:t>
            </w:r>
            <w:r>
              <w:rPr>
                <w:bCs/>
              </w:rPr>
              <w:t>FAPC has reached consensus that its committe</w:t>
            </w:r>
            <w:r w:rsidR="00D57A7B">
              <w:rPr>
                <w:bCs/>
              </w:rPr>
              <w:t xml:space="preserve">e composition, as defined in the </w:t>
            </w:r>
            <w:r w:rsidRPr="00AF54E9">
              <w:rPr>
                <w:bCs/>
              </w:rPr>
              <w:t>bylaws, is appropriate</w:t>
            </w:r>
            <w:r w:rsidR="00DD4EAA" w:rsidRPr="00AF54E9">
              <w:rPr>
                <w:bCs/>
              </w:rPr>
              <w:t>.</w:t>
            </w:r>
          </w:p>
          <w:p w:rsidR="00AF54E9" w:rsidRDefault="00AF54E9" w:rsidP="00AF54E9">
            <w:pPr>
              <w:numPr>
                <w:ilvl w:val="0"/>
                <w:numId w:val="5"/>
              </w:numPr>
              <w:ind w:left="698"/>
              <w:jc w:val="both"/>
              <w:rPr>
                <w:bCs/>
              </w:rPr>
            </w:pPr>
            <w:r>
              <w:rPr>
                <w:b/>
                <w:bCs/>
                <w:u w:val="single"/>
              </w:rPr>
              <w:t>Peer T</w:t>
            </w:r>
            <w:r w:rsidRPr="00AF54E9">
              <w:rPr>
                <w:b/>
                <w:bCs/>
                <w:u w:val="single"/>
              </w:rPr>
              <w:t xml:space="preserve">eaching </w:t>
            </w:r>
            <w:r>
              <w:rPr>
                <w:b/>
                <w:bCs/>
                <w:u w:val="single"/>
              </w:rPr>
              <w:t>Evaluation M</w:t>
            </w:r>
            <w:r w:rsidRPr="00AF54E9">
              <w:rPr>
                <w:b/>
                <w:bCs/>
                <w:u w:val="single"/>
              </w:rPr>
              <w:t>odels</w:t>
            </w:r>
            <w:r w:rsidRPr="00AF54E9">
              <w:rPr>
                <w:bCs/>
                <w:u w:val="single"/>
              </w:rPr>
              <w:t xml:space="preserve">: </w:t>
            </w:r>
            <w:r w:rsidRPr="00AF54E9">
              <w:rPr>
                <w:bCs/>
              </w:rPr>
              <w:t xml:space="preserve">FAPC discussed peer teaching evaluation being used for both formative purposes during annual review and pre-tenure review and also </w:t>
            </w:r>
            <w:r>
              <w:rPr>
                <w:bCs/>
              </w:rPr>
              <w:t>summative purposes</w:t>
            </w:r>
            <w:r w:rsidRPr="00AF54E9">
              <w:rPr>
                <w:bCs/>
              </w:rPr>
              <w:t xml:space="preserve"> during tenure, pr</w:t>
            </w:r>
            <w:r>
              <w:rPr>
                <w:bCs/>
              </w:rPr>
              <w:t xml:space="preserve">omotion, and five-year review. </w:t>
            </w:r>
            <w:r w:rsidR="00D57A7B">
              <w:rPr>
                <w:bCs/>
              </w:rPr>
              <w:t>A question arose regarding this type of evaluation for</w:t>
            </w:r>
            <w:r w:rsidRPr="00AF54E9">
              <w:rPr>
                <w:bCs/>
              </w:rPr>
              <w:t xml:space="preserve"> non-tenure track part-</w:t>
            </w:r>
            <w:r>
              <w:rPr>
                <w:bCs/>
              </w:rPr>
              <w:t>time and full-time lecturers. FAPC</w:t>
            </w:r>
            <w:r w:rsidRPr="00AF54E9">
              <w:rPr>
                <w:bCs/>
              </w:rPr>
              <w:t xml:space="preserve"> also discussed training faculty t</w:t>
            </w:r>
            <w:r>
              <w:rPr>
                <w:bCs/>
              </w:rPr>
              <w:t xml:space="preserve">o be peer teaching evaluators. </w:t>
            </w:r>
            <w:r w:rsidRPr="00AF54E9">
              <w:rPr>
                <w:bCs/>
              </w:rPr>
              <w:t>A preliminary possibility is a two person peer review committee composed of a department member and an outside, trained observer, perhaps from the Cente</w:t>
            </w:r>
            <w:r>
              <w:rPr>
                <w:bCs/>
              </w:rPr>
              <w:t>r of Teaching &amp; Learning (CTL). FAPC is</w:t>
            </w:r>
            <w:r w:rsidRPr="00AF54E9">
              <w:rPr>
                <w:bCs/>
              </w:rPr>
              <w:t xml:space="preserve"> going to talk with Jeanne Sewell for CTL's perspective.</w:t>
            </w:r>
          </w:p>
          <w:p w:rsidR="00AF54E9" w:rsidRDefault="00AF54E9" w:rsidP="00AF54E9">
            <w:pPr>
              <w:numPr>
                <w:ilvl w:val="0"/>
                <w:numId w:val="5"/>
              </w:numPr>
              <w:ind w:left="698"/>
              <w:jc w:val="both"/>
              <w:rPr>
                <w:bCs/>
              </w:rPr>
            </w:pPr>
            <w:r w:rsidRPr="00AF54E9">
              <w:rPr>
                <w:b/>
                <w:bCs/>
                <w:u w:val="single"/>
              </w:rPr>
              <w:lastRenderedPageBreak/>
              <w:t>T&amp;P Task Force</w:t>
            </w:r>
            <w:r w:rsidRPr="00AF54E9">
              <w:rPr>
                <w:b/>
                <w:bCs/>
              </w:rPr>
              <w:t xml:space="preserve"> </w:t>
            </w:r>
            <w:r w:rsidRPr="00AF54E9">
              <w:rPr>
                <w:bCs/>
              </w:rPr>
              <w:t xml:space="preserve">The Task Force urges faculty to take the survey that </w:t>
            </w:r>
            <w:r>
              <w:rPr>
                <w:bCs/>
              </w:rPr>
              <w:t>was released this week on Front</w:t>
            </w:r>
            <w:r w:rsidRPr="00AF54E9">
              <w:rPr>
                <w:bCs/>
              </w:rPr>
              <w:t xml:space="preserve">Page. Alex </w:t>
            </w:r>
            <w:r w:rsidR="0055391F">
              <w:rPr>
                <w:bCs/>
              </w:rPr>
              <w:t xml:space="preserve">Blazer will replace Ryan Brown, </w:t>
            </w:r>
            <w:r w:rsidRPr="00AF54E9">
              <w:rPr>
                <w:bCs/>
              </w:rPr>
              <w:t>who is resigning from the Task For</w:t>
            </w:r>
            <w:r w:rsidR="0055391F">
              <w:rPr>
                <w:bCs/>
              </w:rPr>
              <w:t xml:space="preserve">ce at the end of this semester, </w:t>
            </w:r>
            <w:r w:rsidRPr="00AF54E9">
              <w:rPr>
                <w:bCs/>
              </w:rPr>
              <w:t xml:space="preserve">as one of the two FAPC representatives on the </w:t>
            </w:r>
            <w:r>
              <w:rPr>
                <w:bCs/>
              </w:rPr>
              <w:t>Task Force.</w:t>
            </w:r>
          </w:p>
          <w:p w:rsidR="001E7DA4" w:rsidRDefault="00AF54E9" w:rsidP="001E7DA4">
            <w:pPr>
              <w:numPr>
                <w:ilvl w:val="0"/>
                <w:numId w:val="5"/>
              </w:numPr>
              <w:ind w:left="698"/>
              <w:jc w:val="both"/>
              <w:rPr>
                <w:bCs/>
              </w:rPr>
            </w:pPr>
            <w:r w:rsidRPr="00AF54E9">
              <w:rPr>
                <w:b/>
                <w:bCs/>
                <w:u w:val="single"/>
              </w:rPr>
              <w:t xml:space="preserve">Faculty </w:t>
            </w:r>
            <w:r>
              <w:rPr>
                <w:b/>
                <w:bCs/>
                <w:u w:val="single"/>
              </w:rPr>
              <w:t>Rights and Responsibilities D</w:t>
            </w:r>
            <w:r w:rsidRPr="00AF54E9">
              <w:rPr>
                <w:b/>
                <w:bCs/>
                <w:u w:val="single"/>
              </w:rPr>
              <w:t xml:space="preserve">uring </w:t>
            </w:r>
            <w:r>
              <w:rPr>
                <w:b/>
                <w:bCs/>
                <w:u w:val="single"/>
              </w:rPr>
              <w:t>S</w:t>
            </w:r>
            <w:r w:rsidRPr="00AF54E9">
              <w:rPr>
                <w:b/>
                <w:bCs/>
                <w:u w:val="single"/>
              </w:rPr>
              <w:t>ummer</w:t>
            </w:r>
            <w:r w:rsidRPr="00AF54E9">
              <w:rPr>
                <w:bCs/>
              </w:rPr>
              <w:t xml:space="preserve"> </w:t>
            </w:r>
            <w:r>
              <w:rPr>
                <w:bCs/>
              </w:rPr>
              <w:t>FAPC</w:t>
            </w:r>
            <w:r w:rsidRPr="00AF54E9">
              <w:rPr>
                <w:bCs/>
              </w:rPr>
              <w:t xml:space="preserve"> reminds all members of the university community that important issues that require shared governance should be dealt with during the academic year when possible.</w:t>
            </w:r>
          </w:p>
          <w:p w:rsidR="000C09CA" w:rsidRPr="001E7DA4" w:rsidRDefault="00AF54E9" w:rsidP="00A94670">
            <w:pPr>
              <w:numPr>
                <w:ilvl w:val="0"/>
                <w:numId w:val="5"/>
              </w:numPr>
              <w:ind w:left="698"/>
              <w:jc w:val="both"/>
              <w:rPr>
                <w:bCs/>
              </w:rPr>
            </w:pPr>
            <w:r w:rsidRPr="001E7DA4">
              <w:rPr>
                <w:b/>
                <w:bCs/>
                <w:u w:val="single"/>
              </w:rPr>
              <w:t xml:space="preserve">T&amp;P </w:t>
            </w:r>
            <w:r w:rsidR="001E7DA4" w:rsidRPr="001E7DA4">
              <w:rPr>
                <w:b/>
                <w:bCs/>
                <w:u w:val="single"/>
              </w:rPr>
              <w:t>P</w:t>
            </w:r>
            <w:r w:rsidRPr="001E7DA4">
              <w:rPr>
                <w:b/>
                <w:bCs/>
                <w:u w:val="single"/>
              </w:rPr>
              <w:t xml:space="preserve">olicy and </w:t>
            </w:r>
            <w:r w:rsidR="001E7DA4" w:rsidRPr="001E7DA4">
              <w:rPr>
                <w:b/>
                <w:bCs/>
                <w:u w:val="single"/>
              </w:rPr>
              <w:t>P</w:t>
            </w:r>
            <w:r w:rsidRPr="001E7DA4">
              <w:rPr>
                <w:b/>
                <w:bCs/>
                <w:u w:val="single"/>
              </w:rPr>
              <w:t xml:space="preserve">rocedure </w:t>
            </w:r>
            <w:r w:rsidR="001E7DA4" w:rsidRPr="001E7DA4">
              <w:rPr>
                <w:b/>
                <w:bCs/>
                <w:u w:val="single"/>
              </w:rPr>
              <w:t>I</w:t>
            </w:r>
            <w:r w:rsidRPr="001E7DA4">
              <w:rPr>
                <w:b/>
                <w:bCs/>
                <w:u w:val="single"/>
              </w:rPr>
              <w:t>rregularities</w:t>
            </w:r>
            <w:r w:rsidRPr="001E7DA4">
              <w:rPr>
                <w:bCs/>
              </w:rPr>
              <w:t xml:space="preserve"> </w:t>
            </w:r>
            <w:r w:rsidR="001E7DA4">
              <w:rPr>
                <w:bCs/>
              </w:rPr>
              <w:t>FAPC</w:t>
            </w:r>
            <w:r w:rsidRPr="001E7DA4">
              <w:rPr>
                <w:bCs/>
              </w:rPr>
              <w:t xml:space="preserve"> would like to remind administrators that copies of recommendations for and against promo</w:t>
            </w:r>
            <w:r w:rsidR="001E7DA4">
              <w:rPr>
                <w:bCs/>
              </w:rPr>
              <w:t>tion and tenure from chair</w:t>
            </w:r>
            <w:r w:rsidRPr="001E7DA4">
              <w:rPr>
                <w:bCs/>
              </w:rPr>
              <w:t xml:space="preserve">s, deans, etc. should be provided to </w:t>
            </w:r>
            <w:r w:rsidR="001E7DA4">
              <w:rPr>
                <w:bCs/>
              </w:rPr>
              <w:t>the candidate</w:t>
            </w:r>
            <w:r w:rsidRPr="001E7DA4">
              <w:rPr>
                <w:bCs/>
              </w:rPr>
              <w:t xml:space="preserve">. There was also a discussion about faculty members being prevented from responding to recommendations "for" promotion and tenure when </w:t>
            </w:r>
            <w:r w:rsidR="00A94670">
              <w:rPr>
                <w:bCs/>
              </w:rPr>
              <w:t>such a</w:t>
            </w:r>
            <w:r w:rsidRPr="001E7DA4">
              <w:rPr>
                <w:bCs/>
              </w:rPr>
              <w:t xml:space="preserve"> positive recomm</w:t>
            </w:r>
            <w:r w:rsidR="001E7DA4">
              <w:rPr>
                <w:bCs/>
              </w:rPr>
              <w:t>endation sends mixed messages. FAPC members</w:t>
            </w:r>
            <w:r w:rsidRPr="001E7DA4">
              <w:rPr>
                <w:bCs/>
              </w:rPr>
              <w:t xml:space="preserve"> are carefully reviewing the promotion and tenure </w:t>
            </w:r>
            <w:r w:rsidR="001E7DA4">
              <w:rPr>
                <w:bCs/>
              </w:rPr>
              <w:t xml:space="preserve">university </w:t>
            </w:r>
            <w:r w:rsidRPr="001E7DA4">
              <w:rPr>
                <w:bCs/>
              </w:rPr>
              <w:t xml:space="preserve">policy language for </w:t>
            </w:r>
            <w:r w:rsidR="001E7DA4">
              <w:rPr>
                <w:bCs/>
              </w:rPr>
              <w:t xml:space="preserve">their </w:t>
            </w:r>
            <w:r w:rsidRPr="001E7DA4">
              <w:rPr>
                <w:bCs/>
              </w:rPr>
              <w:t>next meeting</w:t>
            </w:r>
            <w:r w:rsidR="001E7DA4">
              <w:rPr>
                <w:bCs/>
              </w:rPr>
              <w:t>.</w:t>
            </w: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 xml:space="preserve">Jan </w:t>
            </w:r>
            <w:r w:rsidR="00302C10">
              <w:rPr>
                <w:b/>
                <w:bCs/>
              </w:rPr>
              <w:t xml:space="preserve">Hoffmann </w:t>
            </w:r>
            <w:r>
              <w:rPr>
                <w:b/>
                <w:bCs/>
              </w:rPr>
              <w:t>Clark</w:t>
            </w:r>
          </w:p>
          <w:p w:rsidR="001843B9" w:rsidRDefault="001843B9" w:rsidP="005018A9">
            <w:pPr>
              <w:tabs>
                <w:tab w:val="left" w:pos="0"/>
              </w:tabs>
              <w:rPr>
                <w:b/>
                <w:bCs/>
              </w:rPr>
            </w:pPr>
          </w:p>
        </w:tc>
        <w:tc>
          <w:tcPr>
            <w:tcW w:w="4586" w:type="dxa"/>
          </w:tcPr>
          <w:p w:rsidR="001843B9" w:rsidRPr="004C5177" w:rsidRDefault="001843B9" w:rsidP="00C77A5A">
            <w:pPr>
              <w:numPr>
                <w:ilvl w:val="0"/>
                <w:numId w:val="1"/>
              </w:numPr>
              <w:ind w:left="360"/>
              <w:jc w:val="both"/>
              <w:rPr>
                <w:rFonts w:eastAsia="Calibri"/>
              </w:rPr>
            </w:pPr>
            <w:r w:rsidRPr="004C5177">
              <w:rPr>
                <w:b/>
                <w:u w:val="single"/>
              </w:rPr>
              <w:lastRenderedPageBreak/>
              <w:t>Motion</w:t>
            </w:r>
            <w:r w:rsidR="002026C1" w:rsidRPr="004C5177">
              <w:rPr>
                <w:b/>
                <w:u w:val="single"/>
              </w:rPr>
              <w:t>s</w:t>
            </w:r>
            <w:r w:rsidRPr="004C5177">
              <w:t xml:space="preserve"> RPIPC has </w:t>
            </w:r>
            <w:r w:rsidR="001D3785" w:rsidRPr="004C5177">
              <w:t>one</w:t>
            </w:r>
            <w:r w:rsidRPr="004C5177">
              <w:t xml:space="preserve"> motion to submit for </w:t>
            </w:r>
            <w:r w:rsidR="00987D28" w:rsidRPr="004C5177">
              <w:t>university senate</w:t>
            </w:r>
            <w:r w:rsidRPr="004C5177">
              <w:t xml:space="preserve"> consideration at its </w:t>
            </w:r>
            <w:r w:rsidR="0027349A" w:rsidRPr="004C5177">
              <w:t>20 Jan 2017</w:t>
            </w:r>
            <w:r w:rsidRPr="004C5177">
              <w:t xml:space="preserve"> meeting</w:t>
            </w:r>
            <w:r w:rsidR="00581260" w:rsidRPr="004C5177">
              <w:t>.</w:t>
            </w:r>
            <w:r w:rsidR="004C5177" w:rsidRPr="004C5177">
              <w:t xml:space="preserve"> See item 3a below.</w:t>
            </w:r>
          </w:p>
          <w:p w:rsidR="001843B9" w:rsidRPr="004C5177" w:rsidRDefault="001843B9" w:rsidP="00C77A5A">
            <w:pPr>
              <w:numPr>
                <w:ilvl w:val="0"/>
                <w:numId w:val="1"/>
              </w:numPr>
              <w:ind w:left="360"/>
              <w:jc w:val="both"/>
              <w:rPr>
                <w:rFonts w:eastAsia="Calibri"/>
              </w:rPr>
            </w:pPr>
            <w:r w:rsidRPr="004C5177">
              <w:rPr>
                <w:b/>
                <w:bCs/>
                <w:u w:val="single"/>
              </w:rPr>
              <w:t>Officers</w:t>
            </w:r>
            <w:r w:rsidRPr="004C5177">
              <w:rPr>
                <w:bCs/>
              </w:rPr>
              <w:t xml:space="preserve"> The 201</w:t>
            </w:r>
            <w:r w:rsidR="003A2F26" w:rsidRPr="004C5177">
              <w:rPr>
                <w:bCs/>
              </w:rPr>
              <w:t>6</w:t>
            </w:r>
            <w:r w:rsidRPr="004C5177">
              <w:rPr>
                <w:bCs/>
              </w:rPr>
              <w:t>-1</w:t>
            </w:r>
            <w:r w:rsidR="003A2F26" w:rsidRPr="004C5177">
              <w:rPr>
                <w:bCs/>
              </w:rPr>
              <w:t>7</w:t>
            </w:r>
            <w:r w:rsidRPr="004C5177">
              <w:rPr>
                <w:bCs/>
              </w:rPr>
              <w:t xml:space="preserve"> RPIPC officers are </w:t>
            </w:r>
            <w:r w:rsidR="005018A9" w:rsidRPr="004C5177">
              <w:rPr>
                <w:bCs/>
              </w:rPr>
              <w:t xml:space="preserve">Jan </w:t>
            </w:r>
            <w:r w:rsidR="00302C10" w:rsidRPr="004C5177">
              <w:rPr>
                <w:bCs/>
              </w:rPr>
              <w:t xml:space="preserve">Hoffmann </w:t>
            </w:r>
            <w:r w:rsidR="005018A9" w:rsidRPr="004C5177">
              <w:rPr>
                <w:bCs/>
              </w:rPr>
              <w:t xml:space="preserve">Clark </w:t>
            </w:r>
            <w:r w:rsidRPr="004C5177">
              <w:rPr>
                <w:bCs/>
              </w:rPr>
              <w:t xml:space="preserve">(Chair), </w:t>
            </w:r>
            <w:r w:rsidR="003A2F26" w:rsidRPr="004C5177">
              <w:rPr>
                <w:bCs/>
              </w:rPr>
              <w:t xml:space="preserve">Susan </w:t>
            </w:r>
            <w:r w:rsidR="0046684A" w:rsidRPr="004C5177">
              <w:rPr>
                <w:bCs/>
              </w:rPr>
              <w:t xml:space="preserve">C. </w:t>
            </w:r>
            <w:r w:rsidR="003A2F26" w:rsidRPr="004C5177">
              <w:rPr>
                <w:bCs/>
              </w:rPr>
              <w:lastRenderedPageBreak/>
              <w:t xml:space="preserve">Allen </w:t>
            </w:r>
            <w:r w:rsidRPr="004C5177">
              <w:rPr>
                <w:bCs/>
              </w:rPr>
              <w:t>(Vice-Chair)</w:t>
            </w:r>
            <w:r w:rsidR="0046684A" w:rsidRPr="004C5177">
              <w:rPr>
                <w:bCs/>
              </w:rPr>
              <w:t xml:space="preserve"> and</w:t>
            </w:r>
            <w:r w:rsidRPr="004C5177">
              <w:rPr>
                <w:bCs/>
              </w:rPr>
              <w:t xml:space="preserve"> </w:t>
            </w:r>
            <w:r w:rsidR="003A2F26" w:rsidRPr="004C5177">
              <w:rPr>
                <w:bCs/>
              </w:rPr>
              <w:t xml:space="preserve">Emily Gomez </w:t>
            </w:r>
            <w:r w:rsidRPr="004C5177">
              <w:rPr>
                <w:bCs/>
              </w:rPr>
              <w:t>(Secretary).</w:t>
            </w:r>
          </w:p>
          <w:p w:rsidR="00306222" w:rsidRPr="004C5177" w:rsidRDefault="00C63E4F" w:rsidP="00C77A5A">
            <w:pPr>
              <w:numPr>
                <w:ilvl w:val="0"/>
                <w:numId w:val="1"/>
              </w:numPr>
              <w:ind w:left="360"/>
              <w:jc w:val="both"/>
              <w:rPr>
                <w:bCs/>
              </w:rPr>
            </w:pPr>
            <w:r w:rsidRPr="004C5177">
              <w:rPr>
                <w:b/>
                <w:bCs/>
                <w:u w:val="single"/>
              </w:rPr>
              <w:t>Meeting</w:t>
            </w:r>
            <w:r w:rsidR="00C91DDA" w:rsidRPr="004C5177">
              <w:rPr>
                <w:b/>
                <w:bCs/>
                <w:u w:val="single"/>
              </w:rPr>
              <w:t>s</w:t>
            </w:r>
            <w:r w:rsidRPr="004C5177">
              <w:rPr>
                <w:bCs/>
              </w:rPr>
              <w:t xml:space="preserve"> </w:t>
            </w:r>
            <w:r w:rsidR="005018A9" w:rsidRPr="004C5177">
              <w:t xml:space="preserve">The </w:t>
            </w:r>
            <w:r w:rsidR="009A1D4D" w:rsidRPr="004C5177">
              <w:t>Resources, Planning and Institutional</w:t>
            </w:r>
            <w:r w:rsidR="005018A9" w:rsidRPr="004C5177">
              <w:t xml:space="preserve"> Policy Committee met on </w:t>
            </w:r>
            <w:r w:rsidR="001F104D" w:rsidRPr="004C5177">
              <w:t>2 Dec 2016</w:t>
            </w:r>
            <w:r w:rsidR="00367A04" w:rsidRPr="004C5177">
              <w:t xml:space="preserve"> from 2:00pm to 3:15pm</w:t>
            </w:r>
            <w:r w:rsidR="006616DD" w:rsidRPr="004C5177">
              <w:t xml:space="preserve"> and the following items were discussed</w:t>
            </w:r>
            <w:r w:rsidR="00505DBD" w:rsidRPr="004C5177">
              <w:t>.</w:t>
            </w:r>
          </w:p>
          <w:p w:rsidR="004C5177" w:rsidRPr="004C5177" w:rsidRDefault="004C5177" w:rsidP="001D3785">
            <w:pPr>
              <w:numPr>
                <w:ilvl w:val="1"/>
                <w:numId w:val="1"/>
              </w:numPr>
              <w:ind w:left="698"/>
              <w:jc w:val="both"/>
            </w:pPr>
            <w:r w:rsidRPr="004C5177">
              <w:rPr>
                <w:b/>
                <w:u w:val="single"/>
              </w:rPr>
              <w:t>Policy</w:t>
            </w:r>
            <w:r w:rsidR="001D3785" w:rsidRPr="004C5177">
              <w:rPr>
                <w:b/>
                <w:u w:val="single"/>
              </w:rPr>
              <w:t xml:space="preserve"> Motion</w:t>
            </w:r>
            <w:r w:rsidR="0039358F" w:rsidRPr="004C5177">
              <w:t xml:space="preserve"> </w:t>
            </w:r>
            <w:r w:rsidRPr="004C5177">
              <w:t xml:space="preserve">RPIPC voted to forward a policy motion to the full university senate at its 20 Jan 2017 to adopt the proposed "GC Policy </w:t>
            </w:r>
            <w:r w:rsidR="0055391F">
              <w:t>f</w:t>
            </w:r>
            <w:r w:rsidRPr="004C5177">
              <w:t>or Programs Serving Minors</w:t>
            </w:r>
            <w:r w:rsidR="0055391F">
              <w:t>.</w:t>
            </w:r>
            <w:r w:rsidRPr="004C5177">
              <w:t>”</w:t>
            </w:r>
          </w:p>
          <w:p w:rsidR="006616DD" w:rsidRPr="004C5177" w:rsidRDefault="001D3785" w:rsidP="001D3785">
            <w:pPr>
              <w:numPr>
                <w:ilvl w:val="1"/>
                <w:numId w:val="1"/>
              </w:numPr>
              <w:ind w:left="698"/>
              <w:jc w:val="both"/>
            </w:pPr>
            <w:r w:rsidRPr="004C5177">
              <w:rPr>
                <w:b/>
                <w:u w:val="single"/>
              </w:rPr>
              <w:t>Parking</w:t>
            </w:r>
            <w:r w:rsidR="004C5177" w:rsidRPr="004C5177">
              <w:rPr>
                <w:b/>
                <w:u w:val="single"/>
              </w:rPr>
              <w:t xml:space="preserve"> Concern from the Floor</w:t>
            </w:r>
          </w:p>
          <w:p w:rsidR="00DB5C09" w:rsidRDefault="004C5177" w:rsidP="00C8229D">
            <w:pPr>
              <w:numPr>
                <w:ilvl w:val="2"/>
                <w:numId w:val="1"/>
              </w:numPr>
              <w:ind w:left="1058"/>
              <w:jc w:val="both"/>
            </w:pPr>
            <w:r w:rsidRPr="004C5177">
              <w:t>A</w:t>
            </w:r>
            <w:r>
              <w:t xml:space="preserve"> parking</w:t>
            </w:r>
            <w:r w:rsidRPr="004C5177">
              <w:t xml:space="preserve"> concern regarding the</w:t>
            </w:r>
            <w:r>
              <w:t xml:space="preserve"> perception that </w:t>
            </w:r>
            <w:r w:rsidR="00C8229D">
              <w:t>participants in today’s (2 Dec 2016)</w:t>
            </w:r>
            <w:r w:rsidRPr="004C5177">
              <w:t xml:space="preserve"> President’s Scholarship </w:t>
            </w:r>
            <w:r w:rsidR="00C8229D">
              <w:t>C</w:t>
            </w:r>
            <w:r w:rsidRPr="004C5177">
              <w:t xml:space="preserve">ompetition </w:t>
            </w:r>
            <w:r w:rsidR="00C8229D">
              <w:t>were parked in spots typically requiring employee decals.</w:t>
            </w:r>
            <w:r w:rsidRPr="004C5177">
              <w:t xml:space="preserve"> </w:t>
            </w:r>
            <w:r w:rsidR="00C8229D">
              <w:t>The expresser of the concern shared their morning experience riding the parking shuttle.</w:t>
            </w:r>
          </w:p>
          <w:p w:rsidR="00C8229D" w:rsidRDefault="00C8229D" w:rsidP="00C8229D">
            <w:pPr>
              <w:numPr>
                <w:ilvl w:val="2"/>
                <w:numId w:val="1"/>
              </w:numPr>
              <w:ind w:left="1058"/>
              <w:jc w:val="both"/>
            </w:pPr>
            <w:r>
              <w:t>Jan Clark responded to indicate that th</w:t>
            </w:r>
            <w:r w:rsidR="0055391F">
              <w:t>is</w:t>
            </w:r>
            <w:r>
              <w:t xml:space="preserve"> had been a point of conversation at the 2 Dec 2016 RPIPC meeting</w:t>
            </w:r>
            <w:r w:rsidR="0069775E">
              <w:t>, and that this very concern was shared by many.</w:t>
            </w:r>
          </w:p>
          <w:p w:rsidR="007D20E5" w:rsidRDefault="00DA2FD8" w:rsidP="00DA2FD8">
            <w:pPr>
              <w:numPr>
                <w:ilvl w:val="2"/>
                <w:numId w:val="1"/>
              </w:numPr>
              <w:ind w:left="1058"/>
              <w:jc w:val="both"/>
            </w:pPr>
            <w:r>
              <w:t xml:space="preserve">While it was recognized that employees are supportive of having the Presidential Scholars </w:t>
            </w:r>
            <w:r w:rsidR="0055391F">
              <w:t>on</w:t>
            </w:r>
            <w:r>
              <w:t xml:space="preserve"> campus, </w:t>
            </w:r>
            <w:r w:rsidR="0055391F">
              <w:t>they</w:t>
            </w:r>
            <w:r>
              <w:t xml:space="preserve"> would equally welcome advanced notification of this kind of event so that the employees with paid parking permits can plan their parking strategies on such days.</w:t>
            </w:r>
          </w:p>
          <w:p w:rsidR="00DA2FD8" w:rsidRPr="004C5177" w:rsidRDefault="00DA2FD8" w:rsidP="00156CE9">
            <w:pPr>
              <w:numPr>
                <w:ilvl w:val="2"/>
                <w:numId w:val="1"/>
              </w:numPr>
              <w:ind w:left="1058"/>
              <w:jc w:val="both"/>
            </w:pPr>
            <w:r>
              <w:lastRenderedPageBreak/>
              <w:t xml:space="preserve">Ideally, this feedback will </w:t>
            </w:r>
            <w:r w:rsidR="004E4935">
              <w:t>be shared with</w:t>
            </w:r>
            <w:r>
              <w:t xml:space="preserve"> </w:t>
            </w:r>
            <w:r w:rsidR="004E4935">
              <w:t>the PTAC (</w:t>
            </w:r>
            <w:r>
              <w:t>Parking and Transportation Advisory Committee</w:t>
            </w:r>
            <w:r w:rsidR="004E4935">
              <w:t xml:space="preserve">) to seek possible </w:t>
            </w:r>
            <w:r w:rsidR="00156CE9">
              <w:t>resolutions to this concern</w:t>
            </w:r>
            <w:r w:rsidR="004E4935">
              <w:t>.</w:t>
            </w:r>
          </w:p>
        </w:tc>
        <w:tc>
          <w:tcPr>
            <w:tcW w:w="3420" w:type="dxa"/>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lastRenderedPageBreak/>
              <w:t>Student Affairs Policy Committee (SAPC)</w:t>
            </w:r>
          </w:p>
          <w:p w:rsidR="001D0AE9" w:rsidRDefault="001D0AE9" w:rsidP="009A1D4D">
            <w:pPr>
              <w:tabs>
                <w:tab w:val="left" w:pos="0"/>
              </w:tabs>
              <w:rPr>
                <w:b/>
                <w:bCs/>
              </w:rPr>
            </w:pPr>
          </w:p>
          <w:p w:rsidR="00615C93" w:rsidRDefault="00EF3B74" w:rsidP="009A1D4D">
            <w:pPr>
              <w:tabs>
                <w:tab w:val="left" w:pos="0"/>
              </w:tabs>
              <w:rPr>
                <w:b/>
                <w:bCs/>
              </w:rPr>
            </w:pPr>
            <w:r>
              <w:rPr>
                <w:b/>
                <w:bCs/>
              </w:rPr>
              <w:t>Heidi Fowler</w:t>
            </w:r>
          </w:p>
        </w:tc>
        <w:tc>
          <w:tcPr>
            <w:tcW w:w="4586" w:type="dxa"/>
          </w:tcPr>
          <w:p w:rsidR="00DC5CF4" w:rsidRPr="004C5177" w:rsidRDefault="001D0AE9" w:rsidP="00904BE5">
            <w:pPr>
              <w:pStyle w:val="ListParagraph"/>
              <w:numPr>
                <w:ilvl w:val="0"/>
                <w:numId w:val="7"/>
              </w:numPr>
              <w:jc w:val="both"/>
            </w:pPr>
            <w:r w:rsidRPr="004C5177">
              <w:rPr>
                <w:b/>
                <w:u w:val="single"/>
              </w:rPr>
              <w:t>Motions</w:t>
            </w:r>
            <w:r w:rsidRPr="004C5177">
              <w:t xml:space="preserve"> SAPC has </w:t>
            </w:r>
            <w:r w:rsidR="0063695D" w:rsidRPr="004C5177">
              <w:t>no</w:t>
            </w:r>
            <w:r w:rsidRPr="004C5177">
              <w:t xml:space="preserve"> motion</w:t>
            </w:r>
            <w:r w:rsidR="0063695D" w:rsidRPr="004C5177">
              <w:t>s</w:t>
            </w:r>
            <w:r w:rsidRPr="004C5177">
              <w:t xml:space="preserve"> to submit for </w:t>
            </w:r>
            <w:r w:rsidR="00987D28" w:rsidRPr="004C5177">
              <w:t>university senate</w:t>
            </w:r>
            <w:r w:rsidRPr="004C5177">
              <w:t xml:space="preserve"> consideration at its </w:t>
            </w:r>
            <w:r w:rsidR="0027349A" w:rsidRPr="004C5177">
              <w:t>20 Jan 2017</w:t>
            </w:r>
            <w:r w:rsidRPr="004C5177">
              <w:t xml:space="preserve"> meeting.</w:t>
            </w:r>
          </w:p>
          <w:p w:rsidR="00DC5CF4" w:rsidRPr="004C5177" w:rsidRDefault="001D0AE9" w:rsidP="00904BE5">
            <w:pPr>
              <w:pStyle w:val="ListParagraph"/>
              <w:numPr>
                <w:ilvl w:val="0"/>
                <w:numId w:val="7"/>
              </w:numPr>
              <w:jc w:val="both"/>
            </w:pPr>
            <w:r w:rsidRPr="004C5177">
              <w:rPr>
                <w:b/>
                <w:bCs/>
                <w:u w:val="single"/>
              </w:rPr>
              <w:t>Officers</w:t>
            </w:r>
            <w:r w:rsidRPr="004C5177">
              <w:rPr>
                <w:bCs/>
              </w:rPr>
              <w:t xml:space="preserve"> The 201</w:t>
            </w:r>
            <w:r w:rsidR="0063695D" w:rsidRPr="004C5177">
              <w:rPr>
                <w:bCs/>
              </w:rPr>
              <w:t>6</w:t>
            </w:r>
            <w:r w:rsidRPr="004C5177">
              <w:rPr>
                <w:bCs/>
              </w:rPr>
              <w:t>-1</w:t>
            </w:r>
            <w:r w:rsidR="0063695D" w:rsidRPr="004C5177">
              <w:rPr>
                <w:bCs/>
              </w:rPr>
              <w:t>7</w:t>
            </w:r>
            <w:r w:rsidRPr="004C5177">
              <w:rPr>
                <w:bCs/>
              </w:rPr>
              <w:t xml:space="preserve"> SAPC officers are </w:t>
            </w:r>
            <w:r w:rsidR="0055285D" w:rsidRPr="004C5177">
              <w:rPr>
                <w:bCs/>
              </w:rPr>
              <w:t xml:space="preserve">Heidi Fowler </w:t>
            </w:r>
            <w:r w:rsidRPr="004C5177">
              <w:rPr>
                <w:bCs/>
              </w:rPr>
              <w:t xml:space="preserve">(Chair), </w:t>
            </w:r>
            <w:r w:rsidR="0055285D" w:rsidRPr="004C5177">
              <w:rPr>
                <w:bCs/>
              </w:rPr>
              <w:t xml:space="preserve">Ben McMillan </w:t>
            </w:r>
            <w:r w:rsidRPr="004C5177">
              <w:rPr>
                <w:bCs/>
              </w:rPr>
              <w:t xml:space="preserve">(Vice-Chair) and </w:t>
            </w:r>
            <w:r w:rsidR="0055285D" w:rsidRPr="004C5177">
              <w:rPr>
                <w:bCs/>
              </w:rPr>
              <w:t>Simplice Tchamna-Kouna</w:t>
            </w:r>
            <w:r w:rsidR="009A1D4D" w:rsidRPr="004C5177">
              <w:rPr>
                <w:bCs/>
              </w:rPr>
              <w:t xml:space="preserve"> </w:t>
            </w:r>
            <w:r w:rsidRPr="004C5177">
              <w:rPr>
                <w:bCs/>
              </w:rPr>
              <w:t>(Secretary).</w:t>
            </w:r>
          </w:p>
          <w:p w:rsidR="00904BE5" w:rsidRPr="004C5177" w:rsidRDefault="001D0AE9" w:rsidP="00904BE5">
            <w:pPr>
              <w:pStyle w:val="ListParagraph"/>
              <w:numPr>
                <w:ilvl w:val="0"/>
                <w:numId w:val="7"/>
              </w:numPr>
              <w:jc w:val="both"/>
            </w:pPr>
            <w:r w:rsidRPr="004C5177">
              <w:rPr>
                <w:rFonts w:eastAsia="Calibri"/>
                <w:b/>
                <w:u w:val="single"/>
              </w:rPr>
              <w:t>Meeting</w:t>
            </w:r>
            <w:r w:rsidR="007B75FA" w:rsidRPr="004C5177">
              <w:rPr>
                <w:rFonts w:eastAsia="Calibri"/>
              </w:rPr>
              <w:t xml:space="preserve"> </w:t>
            </w:r>
            <w:r w:rsidR="00505DBD" w:rsidRPr="004C5177">
              <w:rPr>
                <w:rFonts w:eastAsia="Calibri"/>
              </w:rPr>
              <w:t>The Student Affair</w:t>
            </w:r>
            <w:r w:rsidR="00D1209D" w:rsidRPr="004C5177">
              <w:rPr>
                <w:rFonts w:eastAsia="Calibri"/>
              </w:rPr>
              <w:t>s</w:t>
            </w:r>
            <w:r w:rsidR="00505DBD" w:rsidRPr="004C5177">
              <w:rPr>
                <w:rFonts w:eastAsia="Calibri"/>
              </w:rPr>
              <w:t xml:space="preserve"> Policy Committee met on </w:t>
            </w:r>
            <w:r w:rsidR="001F104D" w:rsidRPr="004C5177">
              <w:t>2 Dec 2016</w:t>
            </w:r>
            <w:r w:rsidR="00505DBD" w:rsidRPr="004C5177">
              <w:t xml:space="preserve"> from 2:00pm to 3:15pm. The following topics were discussed.</w:t>
            </w:r>
          </w:p>
          <w:p w:rsidR="00904BE5" w:rsidRPr="004C5177" w:rsidRDefault="00904BE5" w:rsidP="00904BE5">
            <w:pPr>
              <w:pStyle w:val="ListParagraph"/>
              <w:numPr>
                <w:ilvl w:val="1"/>
                <w:numId w:val="7"/>
              </w:numPr>
              <w:ind w:left="698"/>
              <w:jc w:val="both"/>
              <w:rPr>
                <w:u w:val="single"/>
              </w:rPr>
            </w:pPr>
            <w:r w:rsidRPr="004C5177">
              <w:rPr>
                <w:b/>
                <w:u w:val="single"/>
              </w:rPr>
              <w:t>The Honor Code: Inclusion of Discrimination</w:t>
            </w:r>
          </w:p>
          <w:p w:rsidR="00904BE5" w:rsidRPr="004C5177" w:rsidRDefault="00904BE5" w:rsidP="00904BE5">
            <w:pPr>
              <w:numPr>
                <w:ilvl w:val="2"/>
                <w:numId w:val="7"/>
              </w:numPr>
              <w:ind w:left="968"/>
              <w:jc w:val="both"/>
              <w:rPr>
                <w:rFonts w:eastAsia="Calibri"/>
              </w:rPr>
            </w:pPr>
            <w:r w:rsidRPr="004C5177">
              <w:t>On behalf of a Student Government Association (SGA) Senator, Johnathan Garcia, SAPC was introduced to a draft-version of a non-discrimination statement to (potentially) be included in the Honor Code. A request was made for SAPC to provide feedback. SAPC members recommended that the finalized document be vetted by Legal Counsel before bringing before University Senate (if University Senate is the appropriate audience).</w:t>
            </w:r>
          </w:p>
          <w:p w:rsidR="00FC5332" w:rsidRPr="004C5177" w:rsidRDefault="00FC5332" w:rsidP="00FC5332">
            <w:pPr>
              <w:pStyle w:val="ListParagraph"/>
              <w:numPr>
                <w:ilvl w:val="1"/>
                <w:numId w:val="7"/>
              </w:numPr>
              <w:ind w:left="698"/>
              <w:jc w:val="both"/>
              <w:rPr>
                <w:u w:val="single"/>
              </w:rPr>
            </w:pPr>
            <w:r w:rsidRPr="004C5177">
              <w:rPr>
                <w:rFonts w:eastAsia="Calibri"/>
                <w:b/>
                <w:u w:val="single"/>
              </w:rPr>
              <w:t>GC Permit issued to "hate speech" gr</w:t>
            </w:r>
            <w:r w:rsidR="00904BE5" w:rsidRPr="004C5177">
              <w:rPr>
                <w:rFonts w:eastAsia="Calibri"/>
                <w:b/>
                <w:u w:val="single"/>
              </w:rPr>
              <w:t>oup</w:t>
            </w:r>
          </w:p>
          <w:p w:rsidR="00FC5332" w:rsidRPr="004C5177" w:rsidRDefault="00904BE5" w:rsidP="00FC5332">
            <w:pPr>
              <w:pStyle w:val="ListParagraph"/>
              <w:numPr>
                <w:ilvl w:val="2"/>
                <w:numId w:val="7"/>
              </w:numPr>
              <w:ind w:left="968"/>
              <w:jc w:val="both"/>
            </w:pPr>
            <w:r w:rsidRPr="004C5177">
              <w:rPr>
                <w:rFonts w:eastAsia="Calibri"/>
              </w:rPr>
              <w:t xml:space="preserve">According to Campus Safety, a permit may be granted, but is not </w:t>
            </w:r>
            <w:r w:rsidRPr="004C5177">
              <w:rPr>
                <w:rFonts w:eastAsia="Calibri"/>
              </w:rPr>
              <w:lastRenderedPageBreak/>
              <w:t>necessary</w:t>
            </w:r>
            <w:r w:rsidR="00F600B6" w:rsidRPr="004C5177">
              <w:rPr>
                <w:rFonts w:eastAsia="Calibri"/>
              </w:rPr>
              <w:t>,</w:t>
            </w:r>
            <w:r w:rsidRPr="004C5177">
              <w:rPr>
                <w:rFonts w:eastAsia="Calibri"/>
              </w:rPr>
              <w:t xml:space="preserve"> for </w:t>
            </w:r>
            <w:r w:rsidR="00F600B6" w:rsidRPr="004C5177">
              <w:rPr>
                <w:rFonts w:eastAsia="Calibri"/>
              </w:rPr>
              <w:t xml:space="preserve">a group or individual </w:t>
            </w:r>
            <w:r w:rsidRPr="004C5177">
              <w:rPr>
                <w:rFonts w:eastAsia="Calibri"/>
              </w:rPr>
              <w:t>if they wish to utilize their freedom of speech on campus (as long as they make the appropriate request/</w:t>
            </w:r>
            <w:r w:rsidR="00F600B6" w:rsidRPr="004C5177">
              <w:rPr>
                <w:rFonts w:eastAsia="Calibri"/>
              </w:rPr>
              <w:t xml:space="preserve"> </w:t>
            </w:r>
            <w:r w:rsidRPr="004C5177">
              <w:rPr>
                <w:rFonts w:eastAsia="Calibri"/>
              </w:rPr>
              <w:t>notification and alert campus organizers of their planned event and remain in t</w:t>
            </w:r>
            <w:r w:rsidR="00FC5332" w:rsidRPr="004C5177">
              <w:rPr>
                <w:rFonts w:eastAsia="Calibri"/>
              </w:rPr>
              <w:t>he physical location allotted).</w:t>
            </w:r>
          </w:p>
          <w:p w:rsidR="0094481E" w:rsidRPr="004C5177" w:rsidRDefault="00904BE5" w:rsidP="00FC5332">
            <w:pPr>
              <w:pStyle w:val="ListParagraph"/>
              <w:numPr>
                <w:ilvl w:val="2"/>
                <w:numId w:val="7"/>
              </w:numPr>
              <w:ind w:left="968"/>
              <w:jc w:val="both"/>
              <w:rPr>
                <w:rFonts w:eastAsia="Calibri"/>
              </w:rPr>
            </w:pPr>
            <w:r w:rsidRPr="004C5177">
              <w:rPr>
                <w:rFonts w:eastAsia="Calibri"/>
              </w:rPr>
              <w:t>SAPC discussed ways in which we might alert students or better prepare students for moments of "hate speech" when they are presented with them on campus</w:t>
            </w:r>
            <w:r w:rsidR="00FC5332" w:rsidRPr="004C5177">
              <w:rPr>
                <w:rFonts w:eastAsia="Calibri"/>
              </w:rPr>
              <w:t>.</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Subcommittee on Nominations (SCoN)</w:t>
            </w:r>
          </w:p>
          <w:p w:rsidR="00191EE6" w:rsidRDefault="00191EE6" w:rsidP="001843B9">
            <w:pPr>
              <w:tabs>
                <w:tab w:val="left" w:pos="0"/>
              </w:tabs>
              <w:rPr>
                <w:b/>
                <w:bCs/>
              </w:rPr>
            </w:pPr>
          </w:p>
          <w:p w:rsidR="001843B9" w:rsidRDefault="00F733F8" w:rsidP="001843B9">
            <w:pPr>
              <w:tabs>
                <w:tab w:val="left" w:pos="0"/>
              </w:tabs>
              <w:rPr>
                <w:b/>
                <w:bCs/>
              </w:rPr>
            </w:pPr>
            <w:r>
              <w:rPr>
                <w:b/>
                <w:bCs/>
              </w:rPr>
              <w:t>Nicole DeClouette</w:t>
            </w:r>
          </w:p>
        </w:tc>
        <w:tc>
          <w:tcPr>
            <w:tcW w:w="4586" w:type="dxa"/>
          </w:tcPr>
          <w:p w:rsidR="001D0AE9" w:rsidRPr="007A7FA3" w:rsidRDefault="001D0AE9" w:rsidP="00C77A5A">
            <w:pPr>
              <w:pStyle w:val="ListParagraph"/>
              <w:numPr>
                <w:ilvl w:val="0"/>
                <w:numId w:val="4"/>
              </w:numPr>
              <w:ind w:left="337"/>
              <w:jc w:val="both"/>
            </w:pPr>
            <w:r w:rsidRPr="007A7FA3">
              <w:rPr>
                <w:b/>
                <w:u w:val="single"/>
              </w:rPr>
              <w:t>Motions</w:t>
            </w:r>
            <w:r w:rsidRPr="007A7FA3">
              <w:t xml:space="preserve"> </w:t>
            </w:r>
            <w:r>
              <w:t>SCoN</w:t>
            </w:r>
            <w:r w:rsidRPr="007A7FA3">
              <w:t xml:space="preserve"> </w:t>
            </w:r>
            <w:r>
              <w:t xml:space="preserve">has </w:t>
            </w:r>
            <w:r w:rsidR="002D4205">
              <w:t xml:space="preserve">no </w:t>
            </w:r>
            <w:r>
              <w:t>motion</w:t>
            </w:r>
            <w:r w:rsidR="002D4205">
              <w:t>s</w:t>
            </w:r>
            <w:r w:rsidR="0063695D">
              <w:t xml:space="preserve"> </w:t>
            </w:r>
            <w:r>
              <w:t xml:space="preserve">to submit for </w:t>
            </w:r>
            <w:r w:rsidR="00987D28">
              <w:t>university senate</w:t>
            </w:r>
            <w:r>
              <w:t xml:space="preserve"> consideration at its </w:t>
            </w:r>
            <w:r w:rsidR="0027349A">
              <w:t>20 Jan 2017</w:t>
            </w:r>
            <w:r>
              <w:t xml:space="preserve"> meeting</w:t>
            </w:r>
            <w:r w:rsidR="001B749D">
              <w:t>.</w:t>
            </w:r>
          </w:p>
          <w:p w:rsidR="00490DDA" w:rsidRPr="0027349A" w:rsidRDefault="001D0AE9" w:rsidP="00490DDA">
            <w:pPr>
              <w:numPr>
                <w:ilvl w:val="0"/>
                <w:numId w:val="4"/>
              </w:numPr>
              <w:ind w:left="337"/>
              <w:jc w:val="both"/>
              <w:rPr>
                <w:rFonts w:eastAsia="Calibri"/>
              </w:rPr>
            </w:pPr>
            <w:r w:rsidRPr="007A7FA3">
              <w:rPr>
                <w:b/>
                <w:bCs/>
                <w:u w:val="single"/>
              </w:rPr>
              <w:t>Officers</w:t>
            </w:r>
            <w:r w:rsidRPr="007A7FA3">
              <w:rPr>
                <w:bCs/>
              </w:rPr>
              <w:t xml:space="preserve"> The 201</w:t>
            </w:r>
            <w:r w:rsidR="00CF6CE7">
              <w:rPr>
                <w:bCs/>
              </w:rPr>
              <w:t>6</w:t>
            </w:r>
            <w:r w:rsidRPr="007A7FA3">
              <w:rPr>
                <w:bCs/>
              </w:rPr>
              <w:t>-1</w:t>
            </w:r>
            <w:r w:rsidR="00CF6CE7">
              <w:rPr>
                <w:bCs/>
              </w:rPr>
              <w:t>7</w:t>
            </w:r>
            <w:r w:rsidRPr="007A7FA3">
              <w:rPr>
                <w:bCs/>
              </w:rPr>
              <w:t xml:space="preserve"> </w:t>
            </w:r>
            <w:r>
              <w:rPr>
                <w:bCs/>
              </w:rPr>
              <w:t>SCoN</w:t>
            </w:r>
            <w:r w:rsidRPr="007A7FA3">
              <w:rPr>
                <w:bCs/>
              </w:rPr>
              <w:t xml:space="preserve"> officers are </w:t>
            </w:r>
            <w:r w:rsidR="00CF6CE7">
              <w:rPr>
                <w:bCs/>
              </w:rPr>
              <w:t xml:space="preserve">Nicole DeClouette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0E32B7" w:rsidRPr="0027349A" w:rsidRDefault="00476F3E" w:rsidP="005D127B">
            <w:pPr>
              <w:numPr>
                <w:ilvl w:val="0"/>
                <w:numId w:val="4"/>
              </w:numPr>
              <w:ind w:left="337"/>
              <w:jc w:val="both"/>
              <w:rPr>
                <w:rFonts w:eastAsia="Calibri"/>
              </w:rPr>
            </w:pPr>
            <w:r w:rsidRPr="00476F3E">
              <w:rPr>
                <w:b/>
                <w:u w:val="single"/>
              </w:rPr>
              <w:t>No Report</w:t>
            </w:r>
            <w:r>
              <w:t xml:space="preserve"> </w:t>
            </w:r>
            <w:r w:rsidR="0027349A">
              <w:t xml:space="preserve">As Nicole DeClouette had extended </w:t>
            </w:r>
            <w:r w:rsidR="0027349A" w:rsidRPr="007C12FC">
              <w:rPr>
                <w:i/>
              </w:rPr>
              <w:t xml:space="preserve">Regrets </w:t>
            </w:r>
            <w:r w:rsidR="0027349A">
              <w:t>and was unable to attend th</w:t>
            </w:r>
            <w:r w:rsidR="005D127B">
              <w:t>is</w:t>
            </w:r>
            <w:r w:rsidR="0027349A">
              <w:t xml:space="preserve"> meeting, there was no SCoN Report</w:t>
            </w:r>
            <w:r w:rsidR="00775D18">
              <w:t>.</w:t>
            </w: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DB6E4B" w:rsidRPr="0037381E" w:rsidTr="00044DD7">
        <w:trPr>
          <w:trHeight w:val="540"/>
        </w:trPr>
        <w:tc>
          <w:tcPr>
            <w:tcW w:w="3131" w:type="dxa"/>
            <w:tcBorders>
              <w:left w:val="double" w:sz="4" w:space="0" w:color="auto"/>
            </w:tcBorders>
          </w:tcPr>
          <w:p w:rsidR="00DB6E4B" w:rsidRDefault="004E7953" w:rsidP="001D0AE9">
            <w:pPr>
              <w:rPr>
                <w:b/>
                <w:bCs/>
              </w:rPr>
            </w:pPr>
            <w:r>
              <w:rPr>
                <w:b/>
                <w:bCs/>
              </w:rPr>
              <w:t>University Senate Budget</w:t>
            </w:r>
          </w:p>
          <w:p w:rsidR="00DB6E4B" w:rsidRDefault="00DB6E4B" w:rsidP="001D0AE9">
            <w:pPr>
              <w:rPr>
                <w:b/>
                <w:bCs/>
              </w:rPr>
            </w:pPr>
          </w:p>
          <w:p w:rsidR="00DB6E4B" w:rsidRPr="00293F1F" w:rsidRDefault="00DB6E4B" w:rsidP="001D0AE9">
            <w:pPr>
              <w:rPr>
                <w:b/>
                <w:bCs/>
              </w:rPr>
            </w:pPr>
            <w:r>
              <w:rPr>
                <w:b/>
                <w:bCs/>
              </w:rPr>
              <w:t>Chavonda Mills</w:t>
            </w:r>
          </w:p>
        </w:tc>
        <w:tc>
          <w:tcPr>
            <w:tcW w:w="4586" w:type="dxa"/>
          </w:tcPr>
          <w:p w:rsidR="004E7953" w:rsidRDefault="004E7953" w:rsidP="004E7953">
            <w:pPr>
              <w:pStyle w:val="ListParagraph"/>
              <w:numPr>
                <w:ilvl w:val="0"/>
                <w:numId w:val="41"/>
              </w:numPr>
              <w:jc w:val="both"/>
            </w:pPr>
            <w:r w:rsidRPr="00DD3C7C">
              <w:rPr>
                <w:b/>
                <w:u w:val="single"/>
              </w:rPr>
              <w:t>Balance</w:t>
            </w:r>
            <w:r w:rsidRPr="00DD3C7C">
              <w:t xml:space="preserve"> The balance of the university senate budget ($5000 allocation annually) is presently holding at </w:t>
            </w:r>
            <w:r w:rsidRPr="00DD3C7C">
              <w:rPr>
                <w:b/>
              </w:rPr>
              <w:t>$1711.24</w:t>
            </w:r>
            <w:r w:rsidRPr="00DD3C7C">
              <w:t>.</w:t>
            </w:r>
          </w:p>
          <w:p w:rsidR="00DB6E4B" w:rsidRPr="00DB6E4B" w:rsidRDefault="004E7953" w:rsidP="004E7953">
            <w:pPr>
              <w:pStyle w:val="ListParagraph"/>
              <w:numPr>
                <w:ilvl w:val="0"/>
                <w:numId w:val="41"/>
              </w:numPr>
              <w:jc w:val="both"/>
            </w:pPr>
            <w:r w:rsidRPr="004E7953">
              <w:rPr>
                <w:b/>
                <w:u w:val="single"/>
              </w:rPr>
              <w:t>Expenditures</w:t>
            </w:r>
            <w:r w:rsidRPr="00DD3C7C">
              <w:t xml:space="preserve"> </w:t>
            </w:r>
            <w:r>
              <w:t>Pending expenditures are the reimbursements for travel expenses incurred by Nicole DeClouette when she was attending the USGFC meeting.</w:t>
            </w:r>
          </w:p>
        </w:tc>
        <w:tc>
          <w:tcPr>
            <w:tcW w:w="3420" w:type="dxa"/>
          </w:tcPr>
          <w:p w:rsidR="00DB6E4B" w:rsidRPr="0037381E" w:rsidRDefault="00DB6E4B" w:rsidP="001D0AE9">
            <w:pPr>
              <w:jc w:val="both"/>
            </w:pPr>
          </w:p>
        </w:tc>
        <w:tc>
          <w:tcPr>
            <w:tcW w:w="2898" w:type="dxa"/>
          </w:tcPr>
          <w:p w:rsidR="00DB6E4B" w:rsidRPr="0037381E" w:rsidRDefault="00DB6E4B" w:rsidP="001D0AE9">
            <w:pPr>
              <w:jc w:val="both"/>
            </w:pPr>
          </w:p>
        </w:tc>
      </w:tr>
      <w:tr w:rsidR="00DB6E4B" w:rsidRPr="0037381E" w:rsidTr="00044DD7">
        <w:trPr>
          <w:trHeight w:val="540"/>
        </w:trPr>
        <w:tc>
          <w:tcPr>
            <w:tcW w:w="3131" w:type="dxa"/>
            <w:tcBorders>
              <w:left w:val="double" w:sz="4" w:space="0" w:color="auto"/>
            </w:tcBorders>
          </w:tcPr>
          <w:p w:rsidR="00DB6E4B" w:rsidRDefault="0016017E" w:rsidP="00DB6E4B">
            <w:pPr>
              <w:rPr>
                <w:b/>
                <w:bCs/>
              </w:rPr>
            </w:pPr>
            <w:r>
              <w:rPr>
                <w:b/>
                <w:bCs/>
              </w:rPr>
              <w:t>AAUP Redbooks</w:t>
            </w:r>
          </w:p>
          <w:p w:rsidR="00DB6E4B" w:rsidRDefault="00DB6E4B" w:rsidP="00DB6E4B">
            <w:pPr>
              <w:rPr>
                <w:b/>
                <w:bCs/>
              </w:rPr>
            </w:pPr>
          </w:p>
          <w:p w:rsidR="00DB6E4B" w:rsidRPr="00293F1F" w:rsidRDefault="00DB6E4B" w:rsidP="00DB6E4B">
            <w:pPr>
              <w:rPr>
                <w:b/>
                <w:bCs/>
              </w:rPr>
            </w:pPr>
            <w:r>
              <w:rPr>
                <w:b/>
                <w:bCs/>
              </w:rPr>
              <w:t>Chavonda Mills</w:t>
            </w:r>
          </w:p>
        </w:tc>
        <w:tc>
          <w:tcPr>
            <w:tcW w:w="4586" w:type="dxa"/>
          </w:tcPr>
          <w:p w:rsidR="0054133D" w:rsidRPr="00DB6E4B" w:rsidRDefault="0016017E" w:rsidP="0054133D">
            <w:pPr>
              <w:jc w:val="both"/>
            </w:pPr>
            <w:r>
              <w:t xml:space="preserve">Chavonda Mills noted </w:t>
            </w:r>
            <w:r w:rsidR="0054133D">
              <w:t xml:space="preserve">that university senate leaders are given a copy of the most current edition of the </w:t>
            </w:r>
            <w:r>
              <w:t>AAUP (American Association of</w:t>
            </w:r>
            <w:r w:rsidR="0054133D">
              <w:t xml:space="preserve"> University Professors) Redbook</w:t>
            </w:r>
            <w:r>
              <w:t xml:space="preserve"> </w:t>
            </w:r>
            <w:r w:rsidR="0054133D">
              <w:t xml:space="preserve">as a token </w:t>
            </w:r>
            <w:r w:rsidR="0054133D">
              <w:lastRenderedPageBreak/>
              <w:t>of appreciation for their leadership service and as a resource to inform future committee deliberation</w:t>
            </w:r>
            <w:r>
              <w:t>. Chavonda Mills</w:t>
            </w:r>
            <w:r w:rsidR="0054133D">
              <w:t xml:space="preserve"> surveyed the standing</w:t>
            </w:r>
            <w:r w:rsidR="00591D2D">
              <w:t xml:space="preserve"> committee chairs</w:t>
            </w:r>
            <w:r w:rsidR="0054133D">
              <w:t xml:space="preserve"> and executive committee members and found that</w:t>
            </w:r>
            <w:r w:rsidR="00591D2D">
              <w:t xml:space="preserve"> only Heidi Fowler </w:t>
            </w:r>
            <w:r w:rsidR="00C570EA">
              <w:t xml:space="preserve">(SAPC Chair) </w:t>
            </w:r>
            <w:r w:rsidR="00591D2D">
              <w:t>and Carol Sapp</w:t>
            </w:r>
            <w:r w:rsidR="00C570EA">
              <w:t xml:space="preserve"> (APC Chair)</w:t>
            </w:r>
            <w:r w:rsidR="00591D2D">
              <w:t xml:space="preserve"> needed Redbooks. All others </w:t>
            </w:r>
            <w:r w:rsidR="00C570EA">
              <w:t xml:space="preserve">who were </w:t>
            </w:r>
            <w:r w:rsidR="00591D2D">
              <w:t xml:space="preserve">present </w:t>
            </w:r>
            <w:r w:rsidR="00C570EA">
              <w:t xml:space="preserve">at this meeting </w:t>
            </w:r>
            <w:r w:rsidR="0054133D">
              <w:t xml:space="preserve">had one. Chavonda </w:t>
            </w:r>
            <w:r w:rsidR="005D127B">
              <w:t>Mills noted that</w:t>
            </w:r>
            <w:r w:rsidR="0054133D">
              <w:t xml:space="preserve"> Redbooks </w:t>
            </w:r>
            <w:r w:rsidR="00CB33A2">
              <w:t>should be delivered at or prior to the next ECUS-SC</w:t>
            </w:r>
            <w:r w:rsidR="0054133D">
              <w:t xml:space="preserve">C meeting, which is </w:t>
            </w:r>
            <w:r w:rsidR="00CB33A2">
              <w:t>slated for 3 Feb 2017</w:t>
            </w:r>
            <w:r w:rsidR="0054133D">
              <w:t>.</w:t>
            </w:r>
          </w:p>
        </w:tc>
        <w:tc>
          <w:tcPr>
            <w:tcW w:w="3420" w:type="dxa"/>
          </w:tcPr>
          <w:p w:rsidR="00DB6E4B" w:rsidRPr="0037381E" w:rsidRDefault="00DB6E4B" w:rsidP="00DB6E4B">
            <w:pPr>
              <w:jc w:val="both"/>
            </w:pPr>
          </w:p>
        </w:tc>
        <w:tc>
          <w:tcPr>
            <w:tcW w:w="2898" w:type="dxa"/>
          </w:tcPr>
          <w:p w:rsidR="00DB6E4B" w:rsidRDefault="00591D2D" w:rsidP="00DB6E4B">
            <w:pPr>
              <w:jc w:val="both"/>
            </w:pPr>
            <w:r>
              <w:t>Chavonda Mills to ensure that an AAUP Redbook is awarded to Carol Sapp and Heidi Fowler.</w:t>
            </w:r>
          </w:p>
          <w:p w:rsidR="0054133D" w:rsidRDefault="0054133D" w:rsidP="00DB6E4B">
            <w:pPr>
              <w:jc w:val="both"/>
            </w:pPr>
          </w:p>
          <w:p w:rsidR="0054133D" w:rsidRPr="0054133D" w:rsidRDefault="0054133D" w:rsidP="005D127B">
            <w:pPr>
              <w:jc w:val="both"/>
              <w:rPr>
                <w:i/>
              </w:rPr>
            </w:pPr>
            <w:r w:rsidRPr="00EC2D1F">
              <w:rPr>
                <w:i/>
                <w:u w:val="single"/>
              </w:rPr>
              <w:t>Note from ECUS Secretary</w:t>
            </w:r>
            <w:r w:rsidR="005D127B">
              <w:rPr>
                <w:i/>
                <w:u w:val="single"/>
              </w:rPr>
              <w:t xml:space="preserve"> </w:t>
            </w:r>
            <w:r w:rsidRPr="0054133D">
              <w:rPr>
                <w:i/>
              </w:rPr>
              <w:t>During the preparation of these minutes, it is noted that Redbooks have been delivered to Carol Sapp and Heidi Fowler.</w:t>
            </w:r>
          </w:p>
        </w:tc>
      </w:tr>
      <w:tr w:rsidR="00DB6E4B" w:rsidRPr="0037381E" w:rsidTr="00044DD7">
        <w:trPr>
          <w:trHeight w:val="540"/>
        </w:trPr>
        <w:tc>
          <w:tcPr>
            <w:tcW w:w="3131" w:type="dxa"/>
            <w:tcBorders>
              <w:left w:val="double" w:sz="4" w:space="0" w:color="auto"/>
            </w:tcBorders>
          </w:tcPr>
          <w:p w:rsidR="00DB6E4B" w:rsidRPr="00637B86" w:rsidRDefault="00DB6E4B" w:rsidP="00DB6E4B">
            <w:pPr>
              <w:tabs>
                <w:tab w:val="left" w:pos="0"/>
              </w:tabs>
              <w:rPr>
                <w:b/>
                <w:bCs/>
                <w:sz w:val="22"/>
                <w:szCs w:val="22"/>
              </w:rPr>
            </w:pPr>
            <w:r w:rsidRPr="0037381E">
              <w:rPr>
                <w:b/>
                <w:bCs/>
              </w:rPr>
              <w:lastRenderedPageBreak/>
              <w:t>V</w:t>
            </w:r>
            <w:r>
              <w:rPr>
                <w:b/>
                <w:bCs/>
              </w:rPr>
              <w:t>I</w:t>
            </w:r>
            <w:r w:rsidRPr="0037381E">
              <w:rPr>
                <w:b/>
                <w:bCs/>
              </w:rPr>
              <w:t xml:space="preserve">. </w:t>
            </w:r>
            <w:r>
              <w:rPr>
                <w:b/>
                <w:bCs/>
              </w:rPr>
              <w:t>Unfinished</w:t>
            </w:r>
            <w:r w:rsidRPr="0037381E">
              <w:rPr>
                <w:b/>
                <w:bCs/>
              </w:rPr>
              <w:t xml:space="preserve"> Business</w:t>
            </w:r>
            <w:r>
              <w:rPr>
                <w:b/>
                <w:bCs/>
              </w:rPr>
              <w:t xml:space="preserve"> </w:t>
            </w:r>
            <w:r w:rsidRPr="00637B86">
              <w:rPr>
                <w:bCs/>
                <w:sz w:val="22"/>
                <w:szCs w:val="22"/>
              </w:rPr>
              <w:t>Review of Action &amp; Recommendations, Provide updates (if any) to Follow-up</w:t>
            </w:r>
          </w:p>
        </w:tc>
        <w:tc>
          <w:tcPr>
            <w:tcW w:w="4586" w:type="dxa"/>
          </w:tcPr>
          <w:p w:rsidR="00DB6E4B" w:rsidRPr="0037381E" w:rsidRDefault="00DB6E4B" w:rsidP="00DB6E4B">
            <w:pPr>
              <w:jc w:val="both"/>
            </w:pPr>
          </w:p>
        </w:tc>
        <w:tc>
          <w:tcPr>
            <w:tcW w:w="3420" w:type="dxa"/>
          </w:tcPr>
          <w:p w:rsidR="00DB6E4B" w:rsidRPr="0037381E" w:rsidRDefault="00DB6E4B" w:rsidP="00DB6E4B">
            <w:pPr>
              <w:jc w:val="both"/>
            </w:pPr>
          </w:p>
        </w:tc>
        <w:tc>
          <w:tcPr>
            <w:tcW w:w="2898" w:type="dxa"/>
          </w:tcPr>
          <w:p w:rsidR="00DB6E4B" w:rsidRPr="0037381E" w:rsidRDefault="00DB6E4B" w:rsidP="00DB6E4B">
            <w:pPr>
              <w:jc w:val="both"/>
            </w:pPr>
          </w:p>
        </w:tc>
      </w:tr>
      <w:tr w:rsidR="0016017E" w:rsidRPr="008B1877" w:rsidTr="00044DD7">
        <w:trPr>
          <w:trHeight w:val="530"/>
        </w:trPr>
        <w:tc>
          <w:tcPr>
            <w:tcW w:w="3131" w:type="dxa"/>
            <w:tcBorders>
              <w:left w:val="double" w:sz="4" w:space="0" w:color="auto"/>
            </w:tcBorders>
          </w:tcPr>
          <w:p w:rsidR="0016017E" w:rsidRDefault="0016017E" w:rsidP="0016017E">
            <w:pPr>
              <w:rPr>
                <w:b/>
                <w:bCs/>
              </w:rPr>
            </w:pPr>
            <w:r>
              <w:rPr>
                <w:b/>
                <w:bCs/>
              </w:rPr>
              <w:t>Committee Annual Reports</w:t>
            </w:r>
          </w:p>
          <w:p w:rsidR="0016017E" w:rsidRDefault="0016017E" w:rsidP="0016017E">
            <w:pPr>
              <w:rPr>
                <w:b/>
                <w:bCs/>
              </w:rPr>
            </w:pPr>
          </w:p>
          <w:p w:rsidR="0016017E" w:rsidRPr="00293F1F" w:rsidRDefault="0016017E" w:rsidP="0016017E">
            <w:pPr>
              <w:rPr>
                <w:b/>
                <w:bCs/>
              </w:rPr>
            </w:pPr>
            <w:r>
              <w:rPr>
                <w:b/>
                <w:bCs/>
              </w:rPr>
              <w:t>Chavonda Mills</w:t>
            </w:r>
          </w:p>
        </w:tc>
        <w:tc>
          <w:tcPr>
            <w:tcW w:w="4586" w:type="dxa"/>
          </w:tcPr>
          <w:p w:rsidR="0016017E" w:rsidRPr="00DB6E4B" w:rsidRDefault="0016017E" w:rsidP="0016017E">
            <w:pPr>
              <w:jc w:val="both"/>
            </w:pPr>
            <w:r>
              <w:t>Due to the proximity to adjournment time, consideration of the template and due date for committee annual reports was postponed to a future meeting.</w:t>
            </w: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16017E" w:rsidRDefault="0016017E" w:rsidP="0016017E">
            <w:pPr>
              <w:rPr>
                <w:b/>
                <w:bCs/>
              </w:rPr>
            </w:pPr>
            <w:r>
              <w:rPr>
                <w:b/>
                <w:bCs/>
              </w:rPr>
              <w:t>Revisions to Committee Composition</w:t>
            </w:r>
          </w:p>
          <w:p w:rsidR="0016017E" w:rsidRDefault="0016017E" w:rsidP="0016017E">
            <w:pPr>
              <w:rPr>
                <w:b/>
                <w:bCs/>
              </w:rPr>
            </w:pPr>
          </w:p>
          <w:p w:rsidR="0016017E" w:rsidRPr="0037381E" w:rsidRDefault="0016017E" w:rsidP="0016017E">
            <w:pPr>
              <w:rPr>
                <w:b/>
                <w:bCs/>
              </w:rPr>
            </w:pPr>
            <w:r>
              <w:rPr>
                <w:b/>
                <w:bCs/>
              </w:rPr>
              <w:t>Chavonda Mills</w:t>
            </w:r>
          </w:p>
        </w:tc>
        <w:tc>
          <w:tcPr>
            <w:tcW w:w="4586" w:type="dxa"/>
          </w:tcPr>
          <w:p w:rsidR="0016017E" w:rsidRPr="0037381E" w:rsidRDefault="00087F75" w:rsidP="005D127B">
            <w:pPr>
              <w:jc w:val="both"/>
            </w:pPr>
            <w:r>
              <w:t xml:space="preserve">Chavonda Mills reminded </w:t>
            </w:r>
            <w:r w:rsidR="005D127B">
              <w:t xml:space="preserve">the </w:t>
            </w:r>
            <w:r>
              <w:t>standing committee chair</w:t>
            </w:r>
            <w:r w:rsidR="00FF2E68">
              <w:t>s</w:t>
            </w:r>
            <w:r>
              <w:t xml:space="preserve"> of the request for</w:t>
            </w:r>
            <w:r w:rsidRPr="00312C38">
              <w:t xml:space="preserve"> review of committee composition. </w:t>
            </w:r>
            <w:r w:rsidR="00CE000E" w:rsidRPr="00CE000E">
              <w:t>Chairs were asked to report whether or not changes were proposed. If so, they were reminded that ECUS is willing to assist in updating pertinent bylaws</w:t>
            </w:r>
            <w:r w:rsidRPr="00CE000E">
              <w:t xml:space="preserve">. </w:t>
            </w:r>
            <w:r>
              <w:t>To date, ECUS and FAPC have responded with no proposed changes</w:t>
            </w:r>
            <w:r w:rsidR="005D127B">
              <w:t xml:space="preserve"> to its composition</w:t>
            </w:r>
            <w:r>
              <w:t xml:space="preserve">. </w:t>
            </w:r>
            <w:r w:rsidR="005D127B">
              <w:t>Yet to</w:t>
            </w:r>
            <w:r>
              <w:t xml:space="preserve"> hear from are APC, CAPC, RPIPC, SAPC, </w:t>
            </w:r>
            <w:r w:rsidR="00E30A96">
              <w:t xml:space="preserve">SCoN </w:t>
            </w:r>
            <w:r>
              <w:t>and SoCC.</w:t>
            </w:r>
            <w:r w:rsidR="00CE000E">
              <w:t xml:space="preserve"> Chairs</w:t>
            </w:r>
            <w:r w:rsidR="009A7DBB">
              <w:t xml:space="preserve"> of these committees</w:t>
            </w:r>
            <w:r w:rsidR="00CE000E">
              <w:t xml:space="preserve"> were invited to submit this information by email to Chavonda Mills.</w:t>
            </w:r>
          </w:p>
        </w:tc>
        <w:tc>
          <w:tcPr>
            <w:tcW w:w="3420" w:type="dxa"/>
          </w:tcPr>
          <w:p w:rsidR="0016017E" w:rsidRPr="0037381E" w:rsidRDefault="009238E8" w:rsidP="009238E8">
            <w:pPr>
              <w:jc w:val="both"/>
            </w:pPr>
            <w:r>
              <w:t xml:space="preserve">It was noted that this information will inform proposed revisions to the composition of the university senate. With current committee compositions, there is a need for at least one additional elected faculty senator to avoid the need of requesting that an elected faculty senator from SoCC serve on a second committee. </w:t>
            </w:r>
          </w:p>
        </w:tc>
        <w:tc>
          <w:tcPr>
            <w:tcW w:w="2898" w:type="dxa"/>
          </w:tcPr>
          <w:p w:rsidR="0016017E" w:rsidRPr="0037381E" w:rsidRDefault="002032A3" w:rsidP="002032A3">
            <w:pPr>
              <w:jc w:val="both"/>
            </w:pPr>
            <w:r>
              <w:t>Chavonda Mills to ensure that composition revisions of the university senate and its committees be an agenda item at a future ECUS-SCC meeting.</w:t>
            </w:r>
          </w:p>
        </w:tc>
      </w:tr>
      <w:tr w:rsidR="0016017E" w:rsidRPr="008B1877" w:rsidTr="00044DD7">
        <w:trPr>
          <w:trHeight w:val="530"/>
        </w:trPr>
        <w:tc>
          <w:tcPr>
            <w:tcW w:w="3131" w:type="dxa"/>
            <w:tcBorders>
              <w:left w:val="double" w:sz="4" w:space="0" w:color="auto"/>
            </w:tcBorders>
          </w:tcPr>
          <w:p w:rsidR="0016017E" w:rsidRPr="0037381E" w:rsidRDefault="0016017E" w:rsidP="0016017E">
            <w:pPr>
              <w:rPr>
                <w:b/>
                <w:bCs/>
              </w:rPr>
            </w:pPr>
            <w:r w:rsidRPr="0037381E">
              <w:rPr>
                <w:b/>
                <w:bCs/>
              </w:rPr>
              <w:t>V</w:t>
            </w:r>
            <w:r>
              <w:rPr>
                <w:b/>
                <w:bCs/>
              </w:rPr>
              <w:t xml:space="preserve">II. </w:t>
            </w:r>
            <w:r w:rsidRPr="0037381E">
              <w:rPr>
                <w:b/>
                <w:bCs/>
              </w:rPr>
              <w:t>New Business</w:t>
            </w:r>
          </w:p>
          <w:p w:rsidR="0016017E" w:rsidRPr="00187BE4" w:rsidRDefault="0016017E" w:rsidP="0016017E">
            <w:pPr>
              <w:pStyle w:val="Heading1"/>
              <w:rPr>
                <w:b w:val="0"/>
                <w:bCs w:val="0"/>
              </w:rPr>
            </w:pPr>
            <w:r w:rsidRPr="0037381E">
              <w:rPr>
                <w:b w:val="0"/>
                <w:bCs w:val="0"/>
              </w:rPr>
              <w:t>Actions/Recommendations</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F93C59" w:rsidRDefault="00F93C59" w:rsidP="00F93C59">
            <w:pPr>
              <w:tabs>
                <w:tab w:val="left" w:pos="0"/>
              </w:tabs>
              <w:rPr>
                <w:b/>
                <w:bCs/>
              </w:rPr>
            </w:pPr>
            <w:r>
              <w:rPr>
                <w:b/>
                <w:bCs/>
              </w:rPr>
              <w:t xml:space="preserve">Steering of Items to </w:t>
            </w:r>
            <w:r w:rsidR="0016017E">
              <w:rPr>
                <w:b/>
                <w:bCs/>
              </w:rPr>
              <w:t>Committees</w:t>
            </w:r>
          </w:p>
          <w:p w:rsidR="0016017E" w:rsidRDefault="0016017E" w:rsidP="0016017E">
            <w:pPr>
              <w:ind w:left="342" w:hanging="342"/>
              <w:rPr>
                <w:b/>
                <w:bCs/>
              </w:rPr>
            </w:pPr>
          </w:p>
          <w:p w:rsidR="0016017E" w:rsidRPr="004F619E" w:rsidRDefault="0016017E" w:rsidP="0016017E">
            <w:pPr>
              <w:ind w:left="342" w:hanging="342"/>
              <w:rPr>
                <w:b/>
                <w:bCs/>
              </w:rPr>
            </w:pPr>
            <w:r>
              <w:rPr>
                <w:b/>
                <w:bCs/>
              </w:rPr>
              <w:lastRenderedPageBreak/>
              <w:t>Chavonda Mills</w:t>
            </w:r>
          </w:p>
        </w:tc>
        <w:tc>
          <w:tcPr>
            <w:tcW w:w="4586" w:type="dxa"/>
          </w:tcPr>
          <w:p w:rsidR="0016017E" w:rsidRPr="005B515B" w:rsidRDefault="0016017E" w:rsidP="00937F4F">
            <w:pPr>
              <w:jc w:val="both"/>
            </w:pPr>
            <w:r w:rsidRPr="00937F4F">
              <w:rPr>
                <w:b/>
                <w:u w:val="single"/>
              </w:rPr>
              <w:lastRenderedPageBreak/>
              <w:t>Due Date Individual Faculty Reports</w:t>
            </w:r>
            <w:r w:rsidRPr="00BE0CFD">
              <w:t xml:space="preserve"> </w:t>
            </w:r>
            <w:r>
              <w:t xml:space="preserve">Chavonda Mills noted that consideration of the Individual Faculty Reports (IFRs) policy </w:t>
            </w:r>
            <w:r>
              <w:lastRenderedPageBreak/>
              <w:t xml:space="preserve">and procedures are being steered to FAPC. In the procedures, the IFR due date is 15 March which made more sense when these reports were based on an academic year. Now that the IFR is based on a calendar year, the due date could </w:t>
            </w:r>
            <w:r w:rsidR="00EB17BC">
              <w:t>reasonably be earlier. The Dean</w:t>
            </w:r>
            <w:r>
              <w:t xml:space="preserve">s Council will discuss the due date at its December </w:t>
            </w:r>
            <w:r w:rsidR="009E6D1C">
              <w:t xml:space="preserve">2016 </w:t>
            </w:r>
            <w:r>
              <w:t>meeting and forward its recommendation of due date to FAPC.</w:t>
            </w:r>
          </w:p>
        </w:tc>
        <w:tc>
          <w:tcPr>
            <w:tcW w:w="3420" w:type="dxa"/>
          </w:tcPr>
          <w:p w:rsidR="0016017E" w:rsidRDefault="0016017E" w:rsidP="0016017E">
            <w:pPr>
              <w:jc w:val="both"/>
            </w:pPr>
          </w:p>
        </w:tc>
        <w:tc>
          <w:tcPr>
            <w:tcW w:w="2898" w:type="dxa"/>
          </w:tcPr>
          <w:p w:rsidR="0016017E" w:rsidRDefault="0016017E" w:rsidP="009238E8">
            <w:pPr>
              <w:jc w:val="both"/>
            </w:pPr>
          </w:p>
        </w:tc>
      </w:tr>
      <w:tr w:rsidR="0016017E" w:rsidRPr="008B1877" w:rsidTr="00044DD7">
        <w:trPr>
          <w:trHeight w:val="530"/>
        </w:trPr>
        <w:tc>
          <w:tcPr>
            <w:tcW w:w="3131" w:type="dxa"/>
            <w:tcBorders>
              <w:left w:val="double" w:sz="4" w:space="0" w:color="auto"/>
            </w:tcBorders>
          </w:tcPr>
          <w:p w:rsidR="00F93C59" w:rsidRDefault="0016017E" w:rsidP="00F93C59">
            <w:pPr>
              <w:tabs>
                <w:tab w:val="left" w:pos="0"/>
              </w:tabs>
              <w:rPr>
                <w:b/>
                <w:bCs/>
              </w:rPr>
            </w:pPr>
            <w:r w:rsidRPr="004F619E">
              <w:rPr>
                <w:b/>
                <w:bCs/>
              </w:rPr>
              <w:t>University Senate Agenda and Minutes Review</w:t>
            </w:r>
          </w:p>
          <w:p w:rsidR="0016017E" w:rsidRPr="004F619E" w:rsidRDefault="0016017E" w:rsidP="0016017E">
            <w:pPr>
              <w:ind w:left="342" w:hanging="342"/>
              <w:rPr>
                <w:b/>
                <w:bCs/>
              </w:rPr>
            </w:pPr>
          </w:p>
        </w:tc>
        <w:tc>
          <w:tcPr>
            <w:tcW w:w="4586" w:type="dxa"/>
          </w:tcPr>
          <w:p w:rsidR="0016017E" w:rsidRPr="00C95643" w:rsidRDefault="0016017E" w:rsidP="0016017E">
            <w:pPr>
              <w:pStyle w:val="ListParagraph"/>
              <w:numPr>
                <w:ilvl w:val="0"/>
                <w:numId w:val="2"/>
              </w:numPr>
              <w:ind w:left="247"/>
              <w:jc w:val="both"/>
            </w:pPr>
            <w:r>
              <w:rPr>
                <w:b/>
                <w:u w:val="single"/>
              </w:rPr>
              <w:t>Tentative Agenda 20 Jan 2017</w:t>
            </w:r>
            <w:r w:rsidRPr="00F02C85">
              <w:t>: Based on the co</w:t>
            </w:r>
            <w:r>
              <w:t>mmittee reports at this meeting</w:t>
            </w:r>
          </w:p>
          <w:p w:rsidR="0016017E" w:rsidRDefault="0016017E" w:rsidP="0016017E">
            <w:pPr>
              <w:pStyle w:val="ListParagraph"/>
              <w:numPr>
                <w:ilvl w:val="1"/>
                <w:numId w:val="2"/>
              </w:numPr>
              <w:ind w:left="607"/>
              <w:jc w:val="both"/>
            </w:pPr>
            <w:r w:rsidRPr="00827723">
              <w:rPr>
                <w:b/>
                <w:u w:val="single"/>
              </w:rPr>
              <w:t>Motions</w:t>
            </w:r>
            <w:r>
              <w:t xml:space="preserve"> T</w:t>
            </w:r>
            <w:r w:rsidRPr="00F02C85">
              <w:t xml:space="preserve">here will be </w:t>
            </w:r>
            <w:r>
              <w:t>up to four motions on the agenda of this</w:t>
            </w:r>
            <w:r w:rsidRPr="00F02C85">
              <w:t xml:space="preserve"> m</w:t>
            </w:r>
            <w:r>
              <w:t>eeting of the university senate, specifically</w:t>
            </w:r>
          </w:p>
          <w:p w:rsidR="0016017E" w:rsidRPr="003D7DC5" w:rsidRDefault="0016017E" w:rsidP="0016017E">
            <w:pPr>
              <w:pStyle w:val="ListParagraph"/>
              <w:numPr>
                <w:ilvl w:val="2"/>
                <w:numId w:val="2"/>
              </w:numPr>
              <w:ind w:left="967"/>
              <w:jc w:val="both"/>
            </w:pPr>
            <w:r w:rsidRPr="003D7DC5">
              <w:t>CAPC (3)</w:t>
            </w:r>
          </w:p>
          <w:p w:rsidR="003022C3" w:rsidRDefault="003022C3" w:rsidP="003022C3">
            <w:pPr>
              <w:pStyle w:val="ListParagraph"/>
              <w:numPr>
                <w:ilvl w:val="3"/>
                <w:numId w:val="2"/>
              </w:numPr>
              <w:ind w:left="1328"/>
              <w:jc w:val="both"/>
            </w:pPr>
            <w:r>
              <w:t>Deactivation Bachelor of Music Education</w:t>
            </w:r>
          </w:p>
          <w:p w:rsidR="003022C3" w:rsidRDefault="003022C3" w:rsidP="003022C3">
            <w:pPr>
              <w:pStyle w:val="ListParagraph"/>
              <w:numPr>
                <w:ilvl w:val="3"/>
                <w:numId w:val="2"/>
              </w:numPr>
              <w:ind w:left="1328"/>
              <w:jc w:val="both"/>
            </w:pPr>
            <w:r>
              <w:t>Certificate Geographic Information Science</w:t>
            </w:r>
          </w:p>
          <w:p w:rsidR="0016017E" w:rsidRPr="003D7DC5" w:rsidRDefault="003022C3" w:rsidP="003022C3">
            <w:pPr>
              <w:pStyle w:val="ListParagraph"/>
              <w:numPr>
                <w:ilvl w:val="3"/>
                <w:numId w:val="2"/>
              </w:numPr>
              <w:ind w:left="1328"/>
              <w:jc w:val="both"/>
            </w:pPr>
            <w:r>
              <w:t>Certificate Sustainability</w:t>
            </w:r>
          </w:p>
          <w:p w:rsidR="0016017E" w:rsidRPr="003D7DC5" w:rsidRDefault="0016017E" w:rsidP="0016017E">
            <w:pPr>
              <w:pStyle w:val="ListParagraph"/>
              <w:numPr>
                <w:ilvl w:val="2"/>
                <w:numId w:val="2"/>
              </w:numPr>
              <w:ind w:left="968"/>
              <w:jc w:val="both"/>
            </w:pPr>
            <w:r w:rsidRPr="003D7DC5">
              <w:t>RPIPC (1)</w:t>
            </w:r>
          </w:p>
          <w:p w:rsidR="0016017E" w:rsidRPr="000B5ED2" w:rsidRDefault="0016017E" w:rsidP="0016017E">
            <w:pPr>
              <w:pStyle w:val="ListParagraph"/>
              <w:numPr>
                <w:ilvl w:val="3"/>
                <w:numId w:val="2"/>
              </w:numPr>
              <w:ind w:left="1328"/>
              <w:jc w:val="both"/>
            </w:pPr>
            <w:r>
              <w:t>Programs Serving Minors</w:t>
            </w:r>
            <w:r w:rsidRPr="000B5ED2">
              <w:t xml:space="preserve"> Policy</w:t>
            </w:r>
          </w:p>
          <w:p w:rsidR="0016017E" w:rsidRDefault="0016017E" w:rsidP="0016017E">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16017E" w:rsidRPr="00F02C85" w:rsidRDefault="0016017E" w:rsidP="0016017E">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18 Nov</w:t>
            </w:r>
            <w:r w:rsidRPr="00DB1576">
              <w:rPr>
                <w:i/>
              </w:rPr>
              <w:t xml:space="preserve"> </w:t>
            </w:r>
            <w:r>
              <w:rPr>
                <w:i/>
              </w:rPr>
              <w:t xml:space="preserve">2016 meeting of the 2016-2017 university senate </w:t>
            </w:r>
            <w:r w:rsidRPr="00D01305">
              <w:rPr>
                <w:i/>
              </w:rPr>
              <w:t xml:space="preserve">be circulated for university senator review </w:t>
            </w:r>
            <w:r w:rsidRPr="00D01305">
              <w:t xml:space="preserve">was </w:t>
            </w:r>
            <w:r>
              <w:t>made and seconded.</w:t>
            </w:r>
          </w:p>
        </w:tc>
        <w:tc>
          <w:tcPr>
            <w:tcW w:w="3420" w:type="dxa"/>
          </w:tcPr>
          <w:p w:rsidR="0016017E" w:rsidRPr="00F02C85" w:rsidRDefault="0016017E" w:rsidP="0016017E">
            <w:pPr>
              <w:jc w:val="both"/>
            </w:pPr>
            <w:r>
              <w:t>The motion (circulate minutes) was approved.</w:t>
            </w:r>
          </w:p>
        </w:tc>
        <w:tc>
          <w:tcPr>
            <w:tcW w:w="2898" w:type="dxa"/>
          </w:tcPr>
          <w:p w:rsidR="0016017E" w:rsidRDefault="0016017E" w:rsidP="0016017E">
            <w:pPr>
              <w:pStyle w:val="ListParagraph"/>
              <w:numPr>
                <w:ilvl w:val="0"/>
                <w:numId w:val="22"/>
              </w:numPr>
              <w:ind w:left="342"/>
              <w:jc w:val="both"/>
            </w:pPr>
            <w:r>
              <w:t>Chavonda Mills</w:t>
            </w:r>
            <w:r w:rsidRPr="00F02C85">
              <w:t xml:space="preserve"> </w:t>
            </w:r>
            <w:r>
              <w:t>to</w:t>
            </w:r>
            <w:r w:rsidRPr="00F02C85">
              <w:t xml:space="preserve"> draft </w:t>
            </w:r>
            <w:r>
              <w:t>the tentative agenda of the university senate meeting.</w:t>
            </w:r>
          </w:p>
          <w:p w:rsidR="0016017E" w:rsidRDefault="0016017E" w:rsidP="0016017E">
            <w:pPr>
              <w:pStyle w:val="ListParagraph"/>
              <w:numPr>
                <w:ilvl w:val="0"/>
                <w:numId w:val="22"/>
              </w:numPr>
              <w:ind w:left="368"/>
              <w:jc w:val="both"/>
            </w:pPr>
            <w:r>
              <w:t>Motions</w:t>
            </w:r>
            <w:r w:rsidRPr="00F02C85">
              <w:t xml:space="preserve"> to be entered into the online motion database by </w:t>
            </w:r>
            <w:r>
              <w:t>CAPC (3), RPIPC (1).</w:t>
            </w:r>
          </w:p>
          <w:p w:rsidR="0016017E" w:rsidRDefault="0016017E" w:rsidP="0016017E">
            <w:pPr>
              <w:pStyle w:val="ListParagraph"/>
              <w:numPr>
                <w:ilvl w:val="0"/>
                <w:numId w:val="22"/>
              </w:numPr>
              <w:ind w:left="368"/>
              <w:jc w:val="both"/>
            </w:pPr>
            <w:r>
              <w:t>Craig Turner to circulate the DRAFT of the university senate meeting minutes to university senators for review</w:t>
            </w:r>
            <w:r w:rsidRPr="00F02C85">
              <w:t>.</w:t>
            </w:r>
          </w:p>
          <w:p w:rsidR="0016017E" w:rsidRPr="00F02C85"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37381E" w:rsidRDefault="0016017E" w:rsidP="0016017E">
            <w:pPr>
              <w:pStyle w:val="Heading1"/>
            </w:pPr>
            <w:r w:rsidRPr="0037381E">
              <w:t>VI</w:t>
            </w:r>
            <w:r>
              <w:t>II. Next</w:t>
            </w:r>
            <w:r w:rsidRPr="0037381E">
              <w:t xml:space="preserve"> Meeting</w:t>
            </w:r>
          </w:p>
          <w:p w:rsidR="0016017E" w:rsidRPr="0037381E" w:rsidRDefault="0016017E" w:rsidP="0016017E">
            <w:r>
              <w:t>(Tentative Agenda, Calendar)</w:t>
            </w:r>
          </w:p>
        </w:tc>
        <w:tc>
          <w:tcPr>
            <w:tcW w:w="4586" w:type="dxa"/>
          </w:tcPr>
          <w:p w:rsidR="0016017E" w:rsidRPr="0037381E" w:rsidRDefault="0016017E" w:rsidP="0016017E">
            <w:pPr>
              <w:jc w:val="both"/>
            </w:pPr>
          </w:p>
        </w:tc>
        <w:tc>
          <w:tcPr>
            <w:tcW w:w="3420" w:type="dxa"/>
          </w:tcPr>
          <w:p w:rsidR="0016017E" w:rsidRPr="0037381E" w:rsidRDefault="0016017E" w:rsidP="0016017E">
            <w:pPr>
              <w:jc w:val="both"/>
            </w:pPr>
          </w:p>
        </w:tc>
        <w:tc>
          <w:tcPr>
            <w:tcW w:w="2898" w:type="dxa"/>
          </w:tcPr>
          <w:p w:rsidR="0016017E" w:rsidRPr="0037381E"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bCs/>
              </w:rPr>
            </w:pPr>
            <w:r w:rsidRPr="000226C8">
              <w:rPr>
                <w:b/>
              </w:rPr>
              <w:t>1. Calendar</w:t>
            </w:r>
          </w:p>
        </w:tc>
        <w:tc>
          <w:tcPr>
            <w:tcW w:w="4586" w:type="dxa"/>
          </w:tcPr>
          <w:p w:rsidR="0016017E" w:rsidRPr="00C405F4" w:rsidRDefault="0016017E" w:rsidP="0016017E">
            <w:pPr>
              <w:jc w:val="both"/>
              <w:rPr>
                <w:sz w:val="22"/>
                <w:szCs w:val="22"/>
              </w:rPr>
            </w:pPr>
            <w:r>
              <w:rPr>
                <w:sz w:val="22"/>
                <w:szCs w:val="22"/>
              </w:rPr>
              <w:t>20 Jan 2017</w:t>
            </w:r>
            <w:r w:rsidRPr="00C405F4">
              <w:rPr>
                <w:sz w:val="22"/>
                <w:szCs w:val="22"/>
              </w:rPr>
              <w:t xml:space="preserve"> @ 2:00pm Univ. Senate A&amp;S 2-72</w:t>
            </w:r>
          </w:p>
          <w:p w:rsidR="0016017E" w:rsidRPr="00C405F4" w:rsidRDefault="0016017E" w:rsidP="0016017E">
            <w:pPr>
              <w:jc w:val="both"/>
              <w:rPr>
                <w:sz w:val="22"/>
                <w:szCs w:val="22"/>
              </w:rPr>
            </w:pPr>
            <w:r>
              <w:rPr>
                <w:sz w:val="22"/>
                <w:szCs w:val="22"/>
              </w:rPr>
              <w:t>3 Feb 2017</w:t>
            </w:r>
            <w:r w:rsidRPr="00C405F4">
              <w:rPr>
                <w:sz w:val="22"/>
                <w:szCs w:val="22"/>
              </w:rPr>
              <w:t xml:space="preserve"> @ 2:00pm ECUS in 301 Parks</w:t>
            </w:r>
          </w:p>
          <w:p w:rsidR="0016017E" w:rsidRPr="00C405F4" w:rsidRDefault="0016017E" w:rsidP="0016017E">
            <w:pPr>
              <w:jc w:val="both"/>
              <w:rPr>
                <w:sz w:val="22"/>
                <w:szCs w:val="22"/>
              </w:rPr>
            </w:pPr>
            <w:r>
              <w:rPr>
                <w:sz w:val="22"/>
                <w:szCs w:val="22"/>
              </w:rPr>
              <w:lastRenderedPageBreak/>
              <w:t>3 Feb 2017</w:t>
            </w:r>
            <w:r w:rsidRPr="00C405F4">
              <w:rPr>
                <w:sz w:val="22"/>
                <w:szCs w:val="22"/>
              </w:rPr>
              <w:t xml:space="preserve"> @ 3:30pm ECUS-SCC in 301 Parks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p>
        </w:tc>
      </w:tr>
      <w:tr w:rsidR="0016017E" w:rsidRPr="008B1877" w:rsidTr="00044DD7">
        <w:trPr>
          <w:trHeight w:val="530"/>
        </w:trPr>
        <w:tc>
          <w:tcPr>
            <w:tcW w:w="3131" w:type="dxa"/>
            <w:tcBorders>
              <w:left w:val="double" w:sz="4" w:space="0" w:color="auto"/>
            </w:tcBorders>
          </w:tcPr>
          <w:p w:rsidR="0016017E" w:rsidRPr="000226C8" w:rsidRDefault="0016017E" w:rsidP="0016017E">
            <w:pPr>
              <w:rPr>
                <w:b/>
              </w:rPr>
            </w:pPr>
            <w:r w:rsidRPr="000226C8">
              <w:rPr>
                <w:b/>
              </w:rPr>
              <w:t>2. Tentative Agenda</w:t>
            </w:r>
          </w:p>
        </w:tc>
        <w:tc>
          <w:tcPr>
            <w:tcW w:w="4586" w:type="dxa"/>
          </w:tcPr>
          <w:p w:rsidR="0016017E" w:rsidRPr="00C405F4" w:rsidRDefault="0016017E" w:rsidP="0016017E">
            <w:pPr>
              <w:jc w:val="both"/>
            </w:pPr>
            <w:r w:rsidRPr="00C405F4">
              <w:t>Some of the deliberation today may have generated tentative agenda items for future ECUS and ECUS-SCC meetings.</w:t>
            </w:r>
          </w:p>
        </w:tc>
        <w:tc>
          <w:tcPr>
            <w:tcW w:w="3420" w:type="dxa"/>
          </w:tcPr>
          <w:p w:rsidR="0016017E" w:rsidRPr="00C405F4" w:rsidRDefault="0016017E" w:rsidP="0016017E">
            <w:pPr>
              <w:jc w:val="both"/>
            </w:pPr>
          </w:p>
        </w:tc>
        <w:tc>
          <w:tcPr>
            <w:tcW w:w="2898" w:type="dxa"/>
          </w:tcPr>
          <w:p w:rsidR="0016017E" w:rsidRPr="00C405F4" w:rsidRDefault="0016017E" w:rsidP="0016017E">
            <w:pPr>
              <w:jc w:val="both"/>
            </w:pPr>
            <w:r>
              <w:t>Chavonda Mills</w:t>
            </w:r>
            <w:r w:rsidRPr="00C405F4">
              <w:t xml:space="preserve"> to ensure that such items (if any) are added to agendas of an ECUS and/or ECUS-SCC meeting in the future.</w:t>
            </w:r>
          </w:p>
        </w:tc>
      </w:tr>
      <w:tr w:rsidR="0016017E" w:rsidRPr="008B1877" w:rsidTr="00044DD7">
        <w:trPr>
          <w:trHeight w:val="548"/>
        </w:trPr>
        <w:tc>
          <w:tcPr>
            <w:tcW w:w="3131" w:type="dxa"/>
            <w:tcBorders>
              <w:left w:val="double" w:sz="4" w:space="0" w:color="auto"/>
            </w:tcBorders>
          </w:tcPr>
          <w:p w:rsidR="0016017E" w:rsidRPr="000226C8" w:rsidRDefault="0016017E" w:rsidP="0016017E">
            <w:pPr>
              <w:rPr>
                <w:b/>
                <w:bCs/>
              </w:rPr>
            </w:pPr>
            <w:r w:rsidRPr="000226C8">
              <w:rPr>
                <w:b/>
              </w:rPr>
              <w:t>IX. Adjournment</w:t>
            </w:r>
          </w:p>
        </w:tc>
        <w:tc>
          <w:tcPr>
            <w:tcW w:w="4586" w:type="dxa"/>
          </w:tcPr>
          <w:p w:rsidR="0016017E" w:rsidRPr="00F4149F" w:rsidRDefault="0016017E" w:rsidP="0016017E">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16017E" w:rsidRPr="00F4149F" w:rsidRDefault="0016017E" w:rsidP="0016017E">
            <w:pPr>
              <w:jc w:val="both"/>
            </w:pPr>
            <w:r w:rsidRPr="00F4149F">
              <w:t xml:space="preserve">The motion to adjourn was approved and the meeting adjourned at </w:t>
            </w:r>
            <w:r>
              <w:t>4</w:t>
            </w:r>
            <w:r w:rsidRPr="00F4149F">
              <w:t>:</w:t>
            </w:r>
            <w:r>
              <w:t>45</w:t>
            </w:r>
            <w:r w:rsidRPr="00F4149F">
              <w:t xml:space="preserve"> pm.</w:t>
            </w:r>
            <w:r>
              <w:t xml:space="preserve"> </w:t>
            </w:r>
          </w:p>
        </w:tc>
        <w:tc>
          <w:tcPr>
            <w:tcW w:w="2898" w:type="dxa"/>
          </w:tcPr>
          <w:p w:rsidR="0016017E" w:rsidRPr="0037381E" w:rsidRDefault="0016017E" w:rsidP="0016017E">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866471" w:rsidRDefault="0014666D" w:rsidP="00C75940">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F6462C">
        <w:rPr>
          <w:b/>
          <w:bCs/>
          <w:smallCaps/>
          <w:sz w:val="28"/>
          <w:szCs w:val="28"/>
        </w:rPr>
        <w:t xml:space="preserve"> </w:t>
      </w:r>
      <w:r w:rsidR="00866471" w:rsidRPr="00866471">
        <w:rPr>
          <w:bCs/>
          <w:smallCaps/>
          <w:sz w:val="28"/>
          <w:szCs w:val="28"/>
        </w:rPr>
        <w:t>Executive Committee of the University Senate (ECUS)</w:t>
      </w:r>
      <w:r w:rsidR="00366D34">
        <w:rPr>
          <w:bCs/>
          <w:smallCaps/>
          <w:sz w:val="28"/>
          <w:szCs w:val="28"/>
        </w:rPr>
        <w:t xml:space="preserve"> with Standing Committee Chairs</w:t>
      </w:r>
    </w:p>
    <w:p w:rsidR="00973FD5" w:rsidRPr="00B11C50" w:rsidRDefault="0014666D" w:rsidP="00C75940">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366D34" w:rsidRPr="00C405F4">
        <w:rPr>
          <w:bCs/>
          <w:smallCaps/>
          <w:sz w:val="28"/>
          <w:szCs w:val="28"/>
        </w:rPr>
        <w:t xml:space="preserve">Chavonda Mills (Chair), </w:t>
      </w:r>
      <w:r w:rsidR="00366D34">
        <w:rPr>
          <w:bCs/>
          <w:smallCaps/>
          <w:sz w:val="28"/>
          <w:szCs w:val="28"/>
        </w:rPr>
        <w:t>Nicole DeClouette</w:t>
      </w:r>
      <w:r w:rsidR="00366D34" w:rsidRPr="00C405F4">
        <w:rPr>
          <w:bCs/>
          <w:smallCaps/>
          <w:sz w:val="28"/>
          <w:szCs w:val="28"/>
        </w:rPr>
        <w:t xml:space="preserve"> (Vice-Chair), Craig Turner (Secretary</w:t>
      </w:r>
      <w:r w:rsidR="00366D34" w:rsidRPr="00C405F4">
        <w:rPr>
          <w:b/>
          <w:bCs/>
          <w:smallCaps/>
          <w:sz w:val="28"/>
          <w:szCs w:val="28"/>
        </w:rPr>
        <w:t>)</w:t>
      </w:r>
    </w:p>
    <w:p w:rsidR="00973FD5" w:rsidRPr="00B11C50" w:rsidRDefault="0014666D" w:rsidP="00C75940">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2262C8">
        <w:rPr>
          <w:bCs/>
          <w:smallCaps/>
          <w:sz w:val="28"/>
          <w:szCs w:val="28"/>
        </w:rPr>
        <w:t>6</w:t>
      </w:r>
      <w:r w:rsidR="00866471" w:rsidRPr="00866471">
        <w:rPr>
          <w:bCs/>
          <w:smallCaps/>
          <w:sz w:val="28"/>
          <w:szCs w:val="28"/>
        </w:rPr>
        <w:t>-201</w:t>
      </w:r>
      <w:r w:rsidR="00366D34">
        <w:rPr>
          <w:bCs/>
          <w:smallCaps/>
          <w:sz w:val="28"/>
          <w:szCs w:val="28"/>
        </w:rPr>
        <w:t>7</w:t>
      </w:r>
    </w:p>
    <w:p w:rsidR="0049345D" w:rsidRPr="0049345D" w:rsidRDefault="0049345D" w:rsidP="00C75940">
      <w:pPr>
        <w:rPr>
          <w:b/>
          <w:sz w:val="20"/>
        </w:rPr>
      </w:pPr>
      <w:r w:rsidRPr="0049345D">
        <w:rPr>
          <w:b/>
          <w:bCs/>
          <w:smallCaps/>
          <w:sz w:val="28"/>
          <w:szCs w:val="28"/>
        </w:rPr>
        <w:t xml:space="preserve">Aggregate Attendance </w:t>
      </w:r>
      <w:r w:rsidRPr="0049345D">
        <w:rPr>
          <w:b/>
          <w:smallCaps/>
          <w:sz w:val="28"/>
          <w:szCs w:val="28"/>
        </w:rPr>
        <w:t>Record for meeting</w:t>
      </w:r>
      <w:r>
        <w:rPr>
          <w:b/>
          <w:smallCaps/>
          <w:sz w:val="28"/>
          <w:szCs w:val="28"/>
        </w:rPr>
        <w:t>s</w:t>
      </w:r>
      <w:r w:rsidRPr="0049345D">
        <w:rPr>
          <w:b/>
          <w:smallCaps/>
          <w:sz w:val="28"/>
          <w:szCs w:val="28"/>
        </w:rPr>
        <w:t xml:space="preserve"> of the Executive Committee and Standing Committee Chairs</w:t>
      </w:r>
    </w:p>
    <w:p w:rsidR="0049345D" w:rsidRDefault="0049345D" w:rsidP="00C75940">
      <w:pPr>
        <w:rPr>
          <w:b/>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F6462C">
        <w:rPr>
          <w:b/>
          <w:sz w:val="28"/>
          <w:szCs w:val="28"/>
        </w:rPr>
        <w:t xml:space="preserve"> </w:t>
      </w:r>
      <w:r>
        <w:rPr>
          <w:b/>
          <w:sz w:val="28"/>
          <w:szCs w:val="28"/>
        </w:rPr>
        <w:t>“A” denotes</w:t>
      </w:r>
      <w:r w:rsidR="00A20AF5">
        <w:rPr>
          <w:b/>
          <w:sz w:val="28"/>
          <w:szCs w:val="28"/>
        </w:rPr>
        <w:t xml:space="preserve"> Absent,</w:t>
      </w:r>
      <w:r w:rsidR="00F6462C">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r w:rsidR="00ED06CE">
        <w:rPr>
          <w:b/>
          <w:sz w:val="28"/>
          <w:szCs w:val="28"/>
        </w:rPr>
        <w:t xml:space="preserve"> and “N/A” </w:t>
      </w:r>
      <w:r w:rsidR="00A74041">
        <w:rPr>
          <w:b/>
          <w:sz w:val="28"/>
          <w:szCs w:val="28"/>
        </w:rPr>
        <w:t>denotes</w:t>
      </w:r>
      <w:r w:rsidR="00ED06CE">
        <w:rPr>
          <w:b/>
          <w:sz w:val="28"/>
          <w:szCs w:val="28"/>
        </w:rPr>
        <w:t xml:space="preserve"> Not Applicable.</w:t>
      </w:r>
    </w:p>
    <w:p w:rsidR="00D96394" w:rsidRPr="00D96394" w:rsidRDefault="00D96394" w:rsidP="00C75940">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CoAS = College of Arts &amp; Sciences, CoB = College of Business; CoE = College of Education; CoHS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42100E" w:rsidRPr="00C405F4" w:rsidRDefault="0042100E" w:rsidP="0042100E">
            <w:r>
              <w:t>Nicole DeClouette</w:t>
            </w:r>
          </w:p>
          <w:p w:rsidR="0042100E" w:rsidRPr="00C405F4" w:rsidRDefault="0042100E" w:rsidP="0042100E">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2</w:t>
            </w:r>
          </w:p>
        </w:tc>
        <w:tc>
          <w:tcPr>
            <w:tcW w:w="1010" w:type="dxa"/>
            <w:shd w:val="clear" w:color="auto" w:fill="FFFFFF"/>
            <w:vAlign w:val="center"/>
          </w:tcPr>
          <w:p w:rsidR="0042100E" w:rsidRPr="00C405F4" w:rsidRDefault="0042100E" w:rsidP="0042100E">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42100E" w:rsidRPr="00C405F4" w:rsidRDefault="0042100E" w:rsidP="0042100E">
            <w:r w:rsidRPr="00C405F4">
              <w:t>Steve Dorman</w:t>
            </w:r>
          </w:p>
          <w:p w:rsidR="0042100E" w:rsidRPr="00C405F4" w:rsidRDefault="0042100E" w:rsidP="0042100E">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3</w:t>
            </w:r>
          </w:p>
        </w:tc>
        <w:tc>
          <w:tcPr>
            <w:tcW w:w="1010" w:type="dxa"/>
            <w:tcBorders>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2100E" w:rsidRPr="00C405F4" w:rsidRDefault="0042100E" w:rsidP="0042100E">
            <w:r w:rsidRPr="00C405F4">
              <w:t>Chavonda Mills</w:t>
            </w:r>
          </w:p>
          <w:p w:rsidR="0042100E" w:rsidRPr="00C405F4" w:rsidRDefault="0042100E" w:rsidP="0042100E">
            <w:r>
              <w:rPr>
                <w:i/>
              </w:rPr>
              <w:t xml:space="preserve">EFS; CoAS; ECUS </w:t>
            </w:r>
            <w:r w:rsidRPr="00C405F4">
              <w:rPr>
                <w:i/>
              </w:rPr>
              <w:t>Chair</w:t>
            </w:r>
          </w:p>
        </w:tc>
        <w:tc>
          <w:tcPr>
            <w:tcW w:w="1010" w:type="dxa"/>
            <w:tcBorders>
              <w:top w:val="single" w:sz="4" w:space="0" w:color="auto"/>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tcBorders>
              <w:top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3</w:t>
            </w:r>
          </w:p>
        </w:tc>
        <w:tc>
          <w:tcPr>
            <w:tcW w:w="1010" w:type="dxa"/>
            <w:shd w:val="clear" w:color="auto" w:fill="FFFFFF"/>
            <w:vAlign w:val="center"/>
          </w:tcPr>
          <w:p w:rsidR="0042100E" w:rsidRPr="00C405F4" w:rsidRDefault="0042100E" w:rsidP="0042100E">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2100E" w:rsidRPr="00C405F4" w:rsidRDefault="0042100E" w:rsidP="0042100E">
            <w:r>
              <w:t>Costas Spirou</w:t>
            </w:r>
          </w:p>
          <w:p w:rsidR="0042100E" w:rsidRPr="00C405F4" w:rsidRDefault="0042100E" w:rsidP="0042100E">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2100E" w:rsidRPr="00C405F4" w:rsidRDefault="0042100E" w:rsidP="0042100E">
            <w:r w:rsidRPr="00C405F4">
              <w:t>Susan Steele</w:t>
            </w:r>
          </w:p>
          <w:p w:rsidR="0042100E" w:rsidRPr="00C405F4" w:rsidRDefault="0042100E" w:rsidP="0042100E">
            <w:pPr>
              <w:rPr>
                <w:i/>
              </w:rPr>
            </w:pPr>
            <w:r w:rsidRPr="00C405F4">
              <w:rPr>
                <w:i/>
              </w:rPr>
              <w:t xml:space="preserve">EFS; CoHS;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2100E" w:rsidRPr="00C405F4" w:rsidRDefault="0042100E" w:rsidP="0042100E">
            <w:r w:rsidRPr="00C405F4">
              <w:t>John R. Swinton</w:t>
            </w:r>
          </w:p>
          <w:p w:rsidR="0042100E" w:rsidRPr="00C405F4" w:rsidRDefault="0042100E" w:rsidP="0042100E">
            <w:pPr>
              <w:rPr>
                <w:i/>
              </w:rPr>
            </w:pPr>
            <w:r w:rsidRPr="00C405F4">
              <w:rPr>
                <w:i/>
              </w:rPr>
              <w:t>EFS; CoB; ECUS Chair</w:t>
            </w:r>
            <w:r>
              <w:rPr>
                <w:i/>
              </w:rPr>
              <w:t xml:space="preserve"> Emeritus</w:t>
            </w:r>
          </w:p>
        </w:tc>
        <w:tc>
          <w:tcPr>
            <w:tcW w:w="1010" w:type="dxa"/>
            <w:tcBorders>
              <w:top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shd w:val="clear" w:color="auto" w:fill="FFFFFF"/>
            <w:vAlign w:val="center"/>
          </w:tcPr>
          <w:p w:rsidR="0042100E" w:rsidRPr="00C405F4" w:rsidRDefault="0042100E" w:rsidP="0042100E">
            <w:pPr>
              <w:jc w:val="center"/>
              <w:rPr>
                <w:sz w:val="36"/>
                <w:szCs w:val="36"/>
              </w:rPr>
            </w:pPr>
            <w:r>
              <w:rPr>
                <w:sz w:val="36"/>
                <w:szCs w:val="36"/>
              </w:rPr>
              <w:t>P</w:t>
            </w:r>
          </w:p>
        </w:tc>
        <w:tc>
          <w:tcPr>
            <w:tcW w:w="1010" w:type="dxa"/>
            <w:shd w:val="clear" w:color="auto" w:fill="FFFFFF"/>
            <w:vAlign w:val="center"/>
          </w:tcPr>
          <w:p w:rsidR="0042100E" w:rsidRPr="00C405F4" w:rsidRDefault="0042100E" w:rsidP="0042100E">
            <w:pPr>
              <w:jc w:val="center"/>
              <w:rPr>
                <w:sz w:val="36"/>
                <w:szCs w:val="36"/>
              </w:rPr>
            </w:pPr>
          </w:p>
        </w:tc>
        <w:tc>
          <w:tcPr>
            <w:tcW w:w="1010" w:type="dxa"/>
            <w:shd w:val="clear" w:color="auto" w:fill="FFFFFF"/>
            <w:vAlign w:val="center"/>
          </w:tcPr>
          <w:p w:rsidR="0042100E" w:rsidRPr="00C405F4" w:rsidRDefault="0042100E" w:rsidP="0042100E">
            <w:pPr>
              <w:jc w:val="center"/>
              <w:rPr>
                <w:sz w:val="36"/>
                <w:szCs w:val="36"/>
              </w:rPr>
            </w:pPr>
          </w:p>
        </w:tc>
        <w:tc>
          <w:tcPr>
            <w:tcW w:w="1010" w:type="dxa"/>
            <w:shd w:val="clear" w:color="auto" w:fill="FFFFFF"/>
            <w:vAlign w:val="center"/>
          </w:tcPr>
          <w:p w:rsidR="0042100E" w:rsidRPr="00C405F4" w:rsidRDefault="0042100E" w:rsidP="0042100E">
            <w:pPr>
              <w:jc w:val="center"/>
              <w:rPr>
                <w:sz w:val="36"/>
                <w:szCs w:val="36"/>
              </w:rPr>
            </w:pPr>
          </w:p>
        </w:tc>
        <w:tc>
          <w:tcPr>
            <w:tcW w:w="1010" w:type="dxa"/>
            <w:shd w:val="clear" w:color="auto" w:fill="FFFFFF"/>
            <w:vAlign w:val="center"/>
          </w:tcPr>
          <w:p w:rsidR="0042100E" w:rsidRPr="00C405F4" w:rsidRDefault="0042100E" w:rsidP="0042100E">
            <w:pPr>
              <w:jc w:val="center"/>
              <w:rPr>
                <w:sz w:val="36"/>
                <w:szCs w:val="36"/>
              </w:rPr>
            </w:pPr>
            <w:r>
              <w:rPr>
                <w:sz w:val="36"/>
                <w:szCs w:val="36"/>
              </w:rPr>
              <w:t>3</w:t>
            </w:r>
          </w:p>
        </w:tc>
        <w:tc>
          <w:tcPr>
            <w:tcW w:w="1010" w:type="dxa"/>
            <w:shd w:val="clear" w:color="auto" w:fill="FFFFFF"/>
            <w:vAlign w:val="center"/>
          </w:tcPr>
          <w:p w:rsidR="0042100E" w:rsidRPr="00C405F4" w:rsidRDefault="0042100E" w:rsidP="0042100E">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42100E" w:rsidRPr="00C405F4" w:rsidRDefault="0042100E" w:rsidP="0042100E">
            <w:r w:rsidRPr="00C405F4">
              <w:t>Craig Turner</w:t>
            </w:r>
          </w:p>
          <w:p w:rsidR="0042100E" w:rsidRPr="00C405F4" w:rsidRDefault="0042100E" w:rsidP="0042100E">
            <w:pPr>
              <w:rPr>
                <w:i/>
              </w:rPr>
            </w:pPr>
            <w:r w:rsidRPr="00C405F4">
              <w:rPr>
                <w:i/>
              </w:rPr>
              <w:t>EFS; CoAS; ECUS Secretary</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42100E" w:rsidRPr="00C405F4" w:rsidRDefault="0042100E" w:rsidP="0042100E">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42100E" w:rsidRPr="00C405F4" w:rsidRDefault="0042100E" w:rsidP="0042100E">
            <w:r>
              <w:t>Shaundra Walker</w:t>
            </w:r>
          </w:p>
          <w:p w:rsidR="0042100E" w:rsidRPr="00C405F4" w:rsidRDefault="0042100E" w:rsidP="0042100E">
            <w:pPr>
              <w:rPr>
                <w:i/>
              </w:rPr>
            </w:pPr>
            <w:r>
              <w:rPr>
                <w:i/>
              </w:rPr>
              <w:t>EFS; Library; ECUS Member</w:t>
            </w: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p>
        </w:tc>
        <w:tc>
          <w:tcPr>
            <w:tcW w:w="1010" w:type="dxa"/>
            <w:tcBorders>
              <w:bottom w:val="single" w:sz="4" w:space="0" w:color="auto"/>
            </w:tcBorders>
            <w:vAlign w:val="center"/>
          </w:tcPr>
          <w:p w:rsidR="0042100E" w:rsidRPr="00C405F4" w:rsidRDefault="0042100E" w:rsidP="0042100E">
            <w:pPr>
              <w:jc w:val="center"/>
              <w:rPr>
                <w:sz w:val="36"/>
                <w:szCs w:val="36"/>
              </w:rPr>
            </w:pP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3</w:t>
            </w:r>
          </w:p>
        </w:tc>
        <w:tc>
          <w:tcPr>
            <w:tcW w:w="1010" w:type="dxa"/>
            <w:tcBorders>
              <w:bottom w:val="single" w:sz="4" w:space="0" w:color="auto"/>
            </w:tcBorders>
            <w:shd w:val="clear" w:color="auto" w:fill="auto"/>
            <w:vAlign w:val="center"/>
          </w:tcPr>
          <w:p w:rsidR="0042100E" w:rsidRPr="00C405F4" w:rsidRDefault="0042100E" w:rsidP="0042100E">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2100E" w:rsidRDefault="0042100E" w:rsidP="0042100E">
            <w:r>
              <w:t>Carol Sapp</w:t>
            </w:r>
          </w:p>
          <w:p w:rsidR="0042100E" w:rsidRPr="0014666D" w:rsidRDefault="0042100E" w:rsidP="0042100E">
            <w:pPr>
              <w:rPr>
                <w:sz w:val="20"/>
              </w:rPr>
            </w:pPr>
            <w:r>
              <w:rPr>
                <w:i/>
              </w:rPr>
              <w:t>EFS; CoHS</w:t>
            </w:r>
            <w:r w:rsidRPr="00BD5C98">
              <w:rPr>
                <w:i/>
              </w:rPr>
              <w:t xml:space="preserve"> </w:t>
            </w:r>
            <w:r>
              <w:rPr>
                <w:i/>
              </w:rPr>
              <w:t>APC</w:t>
            </w:r>
            <w:r w:rsidRPr="00BD5C98">
              <w:rPr>
                <w:i/>
              </w:rPr>
              <w:t xml:space="preserve"> Chair </w:t>
            </w:r>
          </w:p>
        </w:tc>
        <w:tc>
          <w:tcPr>
            <w:tcW w:w="1010" w:type="dxa"/>
            <w:shd w:val="clear" w:color="auto" w:fill="auto"/>
            <w:vAlign w:val="center"/>
          </w:tcPr>
          <w:p w:rsidR="0042100E" w:rsidRPr="00C405F4" w:rsidRDefault="0042100E" w:rsidP="0042100E">
            <w:pPr>
              <w:jc w:val="center"/>
              <w:rPr>
                <w:sz w:val="36"/>
                <w:szCs w:val="36"/>
              </w:rPr>
            </w:pPr>
            <w:r>
              <w:rPr>
                <w:sz w:val="36"/>
                <w:szCs w:val="36"/>
              </w:rPr>
              <w:t>N/A</w:t>
            </w:r>
          </w:p>
        </w:tc>
        <w:tc>
          <w:tcPr>
            <w:tcW w:w="1010" w:type="dxa"/>
            <w:shd w:val="clear" w:color="auto" w:fill="auto"/>
            <w:vAlign w:val="center"/>
          </w:tcPr>
          <w:p w:rsidR="0042100E" w:rsidRPr="00C405F4" w:rsidRDefault="0042100E" w:rsidP="0042100E">
            <w:pPr>
              <w:jc w:val="center"/>
              <w:rPr>
                <w:sz w:val="36"/>
                <w:szCs w:val="36"/>
              </w:rPr>
            </w:pPr>
            <w:r>
              <w:rPr>
                <w:sz w:val="36"/>
                <w:szCs w:val="36"/>
              </w:rPr>
              <w:t>R</w:t>
            </w:r>
          </w:p>
        </w:tc>
        <w:tc>
          <w:tcPr>
            <w:tcW w:w="1000" w:type="dxa"/>
            <w:shd w:val="clear" w:color="auto" w:fill="auto"/>
            <w:vAlign w:val="center"/>
          </w:tcPr>
          <w:p w:rsidR="0042100E" w:rsidRPr="00C405F4" w:rsidRDefault="0042100E" w:rsidP="0042100E">
            <w:pPr>
              <w:jc w:val="center"/>
              <w:rPr>
                <w:sz w:val="36"/>
                <w:szCs w:val="36"/>
              </w:rPr>
            </w:pPr>
            <w:r>
              <w:rPr>
                <w:sz w:val="36"/>
                <w:szCs w:val="36"/>
              </w:rPr>
              <w:t>P</w:t>
            </w:r>
          </w:p>
        </w:tc>
        <w:tc>
          <w:tcPr>
            <w:tcW w:w="1020" w:type="dxa"/>
            <w:shd w:val="clear" w:color="auto" w:fill="auto"/>
            <w:vAlign w:val="center"/>
          </w:tcPr>
          <w:p w:rsidR="0042100E" w:rsidRPr="00C405F4" w:rsidRDefault="0042100E" w:rsidP="0042100E">
            <w:pPr>
              <w:jc w:val="center"/>
              <w:rPr>
                <w:sz w:val="36"/>
                <w:szCs w:val="36"/>
              </w:rPr>
            </w:pPr>
            <w:r>
              <w:rPr>
                <w:sz w:val="36"/>
                <w:szCs w:val="36"/>
              </w:rPr>
              <w:t>P</w:t>
            </w:r>
          </w:p>
        </w:tc>
        <w:tc>
          <w:tcPr>
            <w:tcW w:w="1010" w:type="dxa"/>
            <w:shd w:val="clear" w:color="auto" w:fill="auto"/>
            <w:vAlign w:val="center"/>
          </w:tcPr>
          <w:p w:rsidR="0042100E" w:rsidRPr="00C405F4"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p>
        </w:tc>
        <w:tc>
          <w:tcPr>
            <w:tcW w:w="1010" w:type="dxa"/>
          </w:tcPr>
          <w:p w:rsidR="0042100E"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r>
              <w:rPr>
                <w:sz w:val="36"/>
                <w:szCs w:val="36"/>
              </w:rPr>
              <w:t>2</w:t>
            </w:r>
          </w:p>
        </w:tc>
        <w:tc>
          <w:tcPr>
            <w:tcW w:w="1010" w:type="dxa"/>
            <w:shd w:val="clear" w:color="auto" w:fill="auto"/>
            <w:vAlign w:val="center"/>
          </w:tcPr>
          <w:p w:rsidR="0042100E" w:rsidRPr="00C405F4" w:rsidRDefault="0042100E" w:rsidP="0042100E">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2100E" w:rsidRDefault="0042100E" w:rsidP="0042100E">
            <w:r>
              <w:t>Lyndall Muschell</w:t>
            </w:r>
          </w:p>
          <w:p w:rsidR="0042100E" w:rsidRDefault="0042100E" w:rsidP="0042100E">
            <w:r>
              <w:rPr>
                <w:i/>
              </w:rPr>
              <w:t>EFS; CoE; CAPC</w:t>
            </w:r>
            <w:r w:rsidRPr="00BD5C98">
              <w:rPr>
                <w:i/>
              </w:rPr>
              <w:t xml:space="preserve"> Chair</w:t>
            </w:r>
          </w:p>
        </w:tc>
        <w:tc>
          <w:tcPr>
            <w:tcW w:w="1010" w:type="dxa"/>
            <w:shd w:val="clear" w:color="auto" w:fill="auto"/>
            <w:vAlign w:val="center"/>
          </w:tcPr>
          <w:p w:rsidR="0042100E" w:rsidRPr="00C405F4" w:rsidRDefault="0042100E" w:rsidP="0042100E">
            <w:pPr>
              <w:jc w:val="center"/>
              <w:rPr>
                <w:sz w:val="36"/>
                <w:szCs w:val="36"/>
              </w:rPr>
            </w:pPr>
            <w:r>
              <w:rPr>
                <w:sz w:val="36"/>
                <w:szCs w:val="36"/>
              </w:rPr>
              <w:t>N/A</w:t>
            </w:r>
          </w:p>
        </w:tc>
        <w:tc>
          <w:tcPr>
            <w:tcW w:w="1010" w:type="dxa"/>
            <w:shd w:val="clear" w:color="auto" w:fill="auto"/>
            <w:vAlign w:val="center"/>
          </w:tcPr>
          <w:p w:rsidR="0042100E" w:rsidRPr="00C405F4" w:rsidRDefault="0042100E" w:rsidP="0042100E">
            <w:pPr>
              <w:jc w:val="center"/>
              <w:rPr>
                <w:sz w:val="36"/>
                <w:szCs w:val="36"/>
              </w:rPr>
            </w:pPr>
            <w:r>
              <w:rPr>
                <w:sz w:val="36"/>
                <w:szCs w:val="36"/>
              </w:rPr>
              <w:t>P</w:t>
            </w:r>
          </w:p>
        </w:tc>
        <w:tc>
          <w:tcPr>
            <w:tcW w:w="1000" w:type="dxa"/>
            <w:shd w:val="clear" w:color="auto" w:fill="auto"/>
            <w:vAlign w:val="center"/>
          </w:tcPr>
          <w:p w:rsidR="0042100E" w:rsidRPr="00C405F4" w:rsidRDefault="0042100E" w:rsidP="0042100E">
            <w:pPr>
              <w:jc w:val="center"/>
              <w:rPr>
                <w:sz w:val="36"/>
                <w:szCs w:val="36"/>
              </w:rPr>
            </w:pPr>
            <w:r>
              <w:rPr>
                <w:sz w:val="36"/>
                <w:szCs w:val="36"/>
              </w:rPr>
              <w:t>P</w:t>
            </w:r>
          </w:p>
        </w:tc>
        <w:tc>
          <w:tcPr>
            <w:tcW w:w="1020" w:type="dxa"/>
            <w:shd w:val="clear" w:color="auto" w:fill="auto"/>
            <w:vAlign w:val="center"/>
          </w:tcPr>
          <w:p w:rsidR="0042100E" w:rsidRPr="00C405F4" w:rsidRDefault="0042100E" w:rsidP="0042100E">
            <w:pPr>
              <w:jc w:val="center"/>
              <w:rPr>
                <w:sz w:val="36"/>
                <w:szCs w:val="36"/>
              </w:rPr>
            </w:pPr>
            <w:r>
              <w:rPr>
                <w:sz w:val="36"/>
                <w:szCs w:val="36"/>
              </w:rPr>
              <w:t>P</w:t>
            </w:r>
          </w:p>
        </w:tc>
        <w:tc>
          <w:tcPr>
            <w:tcW w:w="1010" w:type="dxa"/>
            <w:shd w:val="clear" w:color="auto" w:fill="auto"/>
            <w:vAlign w:val="center"/>
          </w:tcPr>
          <w:p w:rsidR="0042100E" w:rsidRPr="00C405F4"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p>
        </w:tc>
        <w:tc>
          <w:tcPr>
            <w:tcW w:w="1010" w:type="dxa"/>
          </w:tcPr>
          <w:p w:rsidR="0042100E"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r>
              <w:rPr>
                <w:sz w:val="36"/>
                <w:szCs w:val="36"/>
              </w:rPr>
              <w:t>3</w:t>
            </w:r>
          </w:p>
        </w:tc>
        <w:tc>
          <w:tcPr>
            <w:tcW w:w="1010" w:type="dxa"/>
            <w:shd w:val="clear" w:color="auto" w:fill="auto"/>
            <w:vAlign w:val="center"/>
          </w:tcPr>
          <w:p w:rsidR="0042100E" w:rsidRPr="00C405F4" w:rsidRDefault="0042100E" w:rsidP="0042100E">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2100E" w:rsidRDefault="0042100E" w:rsidP="0042100E">
            <w:r>
              <w:t>Alex Blazer</w:t>
            </w:r>
          </w:p>
          <w:p w:rsidR="0042100E" w:rsidRDefault="0042100E" w:rsidP="0042100E">
            <w:r>
              <w:rPr>
                <w:i/>
              </w:rPr>
              <w:t>EFS; CoAS;</w:t>
            </w:r>
            <w:r w:rsidRPr="00BD5C98">
              <w:rPr>
                <w:i/>
              </w:rPr>
              <w:t xml:space="preserve"> </w:t>
            </w:r>
            <w:r>
              <w:rPr>
                <w:i/>
              </w:rPr>
              <w:t>FAPC</w:t>
            </w:r>
            <w:r w:rsidRPr="00BD5C98">
              <w:rPr>
                <w:i/>
              </w:rPr>
              <w:t xml:space="preserve"> Chair</w:t>
            </w:r>
          </w:p>
        </w:tc>
        <w:tc>
          <w:tcPr>
            <w:tcW w:w="1010" w:type="dxa"/>
            <w:shd w:val="clear" w:color="auto" w:fill="auto"/>
            <w:vAlign w:val="center"/>
          </w:tcPr>
          <w:p w:rsidR="0042100E" w:rsidRPr="00C405F4" w:rsidRDefault="0042100E" w:rsidP="0042100E">
            <w:pPr>
              <w:jc w:val="center"/>
              <w:rPr>
                <w:sz w:val="36"/>
                <w:szCs w:val="36"/>
              </w:rPr>
            </w:pPr>
            <w:r>
              <w:rPr>
                <w:sz w:val="36"/>
                <w:szCs w:val="36"/>
              </w:rPr>
              <w:t>N/A</w:t>
            </w:r>
          </w:p>
        </w:tc>
        <w:tc>
          <w:tcPr>
            <w:tcW w:w="1010" w:type="dxa"/>
            <w:shd w:val="clear" w:color="auto" w:fill="auto"/>
            <w:vAlign w:val="center"/>
          </w:tcPr>
          <w:p w:rsidR="0042100E" w:rsidRPr="00C405F4" w:rsidRDefault="0042100E" w:rsidP="0042100E">
            <w:pPr>
              <w:jc w:val="center"/>
              <w:rPr>
                <w:sz w:val="36"/>
                <w:szCs w:val="36"/>
              </w:rPr>
            </w:pPr>
            <w:r>
              <w:rPr>
                <w:sz w:val="36"/>
                <w:szCs w:val="36"/>
              </w:rPr>
              <w:t>P</w:t>
            </w:r>
          </w:p>
        </w:tc>
        <w:tc>
          <w:tcPr>
            <w:tcW w:w="1000" w:type="dxa"/>
            <w:shd w:val="clear" w:color="auto" w:fill="auto"/>
            <w:vAlign w:val="center"/>
          </w:tcPr>
          <w:p w:rsidR="0042100E" w:rsidRPr="00C405F4" w:rsidRDefault="0042100E" w:rsidP="0042100E">
            <w:pPr>
              <w:jc w:val="center"/>
              <w:rPr>
                <w:sz w:val="36"/>
                <w:szCs w:val="36"/>
              </w:rPr>
            </w:pPr>
            <w:r>
              <w:rPr>
                <w:sz w:val="36"/>
                <w:szCs w:val="36"/>
              </w:rPr>
              <w:t>R</w:t>
            </w:r>
          </w:p>
        </w:tc>
        <w:tc>
          <w:tcPr>
            <w:tcW w:w="1020" w:type="dxa"/>
            <w:shd w:val="clear" w:color="auto" w:fill="auto"/>
            <w:vAlign w:val="center"/>
          </w:tcPr>
          <w:p w:rsidR="0042100E" w:rsidRPr="00C405F4" w:rsidRDefault="0042100E" w:rsidP="0042100E">
            <w:pPr>
              <w:jc w:val="center"/>
              <w:rPr>
                <w:sz w:val="36"/>
                <w:szCs w:val="36"/>
              </w:rPr>
            </w:pPr>
            <w:r>
              <w:rPr>
                <w:sz w:val="36"/>
                <w:szCs w:val="36"/>
              </w:rPr>
              <w:t>P</w:t>
            </w:r>
          </w:p>
        </w:tc>
        <w:tc>
          <w:tcPr>
            <w:tcW w:w="1010" w:type="dxa"/>
            <w:shd w:val="clear" w:color="auto" w:fill="auto"/>
            <w:vAlign w:val="center"/>
          </w:tcPr>
          <w:p w:rsidR="0042100E" w:rsidRPr="00C405F4"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p>
        </w:tc>
        <w:tc>
          <w:tcPr>
            <w:tcW w:w="1010" w:type="dxa"/>
          </w:tcPr>
          <w:p w:rsidR="0042100E"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r>
              <w:rPr>
                <w:sz w:val="36"/>
                <w:szCs w:val="36"/>
              </w:rPr>
              <w:t>2</w:t>
            </w:r>
          </w:p>
        </w:tc>
        <w:tc>
          <w:tcPr>
            <w:tcW w:w="1010" w:type="dxa"/>
            <w:shd w:val="clear" w:color="auto" w:fill="auto"/>
            <w:vAlign w:val="center"/>
          </w:tcPr>
          <w:p w:rsidR="0042100E" w:rsidRPr="00C405F4" w:rsidRDefault="0042100E" w:rsidP="0042100E">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2100E" w:rsidRDefault="0042100E" w:rsidP="0042100E">
            <w:r>
              <w:t>Jan Hoffmann Clark</w:t>
            </w:r>
          </w:p>
          <w:p w:rsidR="0042100E" w:rsidRDefault="0042100E" w:rsidP="0042100E">
            <w:r>
              <w:rPr>
                <w:i/>
              </w:rPr>
              <w:t>EFS; CoAS, RPIPC</w:t>
            </w:r>
            <w:r w:rsidRPr="00BD5C98">
              <w:rPr>
                <w:i/>
              </w:rPr>
              <w:t xml:space="preserve"> Chair</w:t>
            </w:r>
          </w:p>
        </w:tc>
        <w:tc>
          <w:tcPr>
            <w:tcW w:w="1010" w:type="dxa"/>
            <w:shd w:val="clear" w:color="auto" w:fill="auto"/>
            <w:vAlign w:val="center"/>
          </w:tcPr>
          <w:p w:rsidR="0042100E" w:rsidRPr="00C405F4" w:rsidRDefault="0042100E" w:rsidP="0042100E">
            <w:pPr>
              <w:jc w:val="center"/>
              <w:rPr>
                <w:sz w:val="36"/>
                <w:szCs w:val="36"/>
              </w:rPr>
            </w:pPr>
            <w:r>
              <w:rPr>
                <w:sz w:val="36"/>
                <w:szCs w:val="36"/>
              </w:rPr>
              <w:t>N/A</w:t>
            </w:r>
          </w:p>
        </w:tc>
        <w:tc>
          <w:tcPr>
            <w:tcW w:w="1010" w:type="dxa"/>
            <w:shd w:val="clear" w:color="auto" w:fill="auto"/>
            <w:vAlign w:val="center"/>
          </w:tcPr>
          <w:p w:rsidR="0042100E" w:rsidRPr="00C405F4" w:rsidRDefault="0042100E" w:rsidP="0042100E">
            <w:pPr>
              <w:jc w:val="center"/>
              <w:rPr>
                <w:sz w:val="36"/>
                <w:szCs w:val="36"/>
              </w:rPr>
            </w:pPr>
            <w:r>
              <w:rPr>
                <w:sz w:val="36"/>
                <w:szCs w:val="36"/>
              </w:rPr>
              <w:t>P</w:t>
            </w:r>
          </w:p>
        </w:tc>
        <w:tc>
          <w:tcPr>
            <w:tcW w:w="1000" w:type="dxa"/>
            <w:shd w:val="clear" w:color="auto" w:fill="auto"/>
            <w:vAlign w:val="center"/>
          </w:tcPr>
          <w:p w:rsidR="0042100E" w:rsidRPr="00C405F4" w:rsidRDefault="0042100E" w:rsidP="0042100E">
            <w:pPr>
              <w:jc w:val="center"/>
              <w:rPr>
                <w:sz w:val="36"/>
                <w:szCs w:val="36"/>
              </w:rPr>
            </w:pPr>
            <w:r>
              <w:rPr>
                <w:sz w:val="36"/>
                <w:szCs w:val="36"/>
              </w:rPr>
              <w:t>P</w:t>
            </w:r>
          </w:p>
        </w:tc>
        <w:tc>
          <w:tcPr>
            <w:tcW w:w="1020" w:type="dxa"/>
            <w:shd w:val="clear" w:color="auto" w:fill="auto"/>
            <w:vAlign w:val="center"/>
          </w:tcPr>
          <w:p w:rsidR="0042100E" w:rsidRPr="00C405F4" w:rsidRDefault="0042100E" w:rsidP="0042100E">
            <w:pPr>
              <w:jc w:val="center"/>
              <w:rPr>
                <w:sz w:val="36"/>
                <w:szCs w:val="36"/>
              </w:rPr>
            </w:pPr>
            <w:r>
              <w:rPr>
                <w:sz w:val="36"/>
                <w:szCs w:val="36"/>
              </w:rPr>
              <w:t>P</w:t>
            </w:r>
          </w:p>
        </w:tc>
        <w:tc>
          <w:tcPr>
            <w:tcW w:w="1010" w:type="dxa"/>
            <w:shd w:val="clear" w:color="auto" w:fill="auto"/>
            <w:vAlign w:val="center"/>
          </w:tcPr>
          <w:p w:rsidR="0042100E" w:rsidRPr="00C405F4"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p>
        </w:tc>
        <w:tc>
          <w:tcPr>
            <w:tcW w:w="1010" w:type="dxa"/>
          </w:tcPr>
          <w:p w:rsidR="0042100E" w:rsidRDefault="0042100E" w:rsidP="0042100E">
            <w:pPr>
              <w:jc w:val="center"/>
              <w:rPr>
                <w:sz w:val="36"/>
                <w:szCs w:val="36"/>
              </w:rPr>
            </w:pPr>
          </w:p>
        </w:tc>
        <w:tc>
          <w:tcPr>
            <w:tcW w:w="1010" w:type="dxa"/>
            <w:shd w:val="clear" w:color="auto" w:fill="auto"/>
            <w:vAlign w:val="center"/>
          </w:tcPr>
          <w:p w:rsidR="0042100E" w:rsidRPr="00C405F4" w:rsidRDefault="0042100E" w:rsidP="0042100E">
            <w:pPr>
              <w:jc w:val="center"/>
              <w:rPr>
                <w:sz w:val="36"/>
                <w:szCs w:val="36"/>
              </w:rPr>
            </w:pPr>
            <w:r>
              <w:rPr>
                <w:sz w:val="36"/>
                <w:szCs w:val="36"/>
              </w:rPr>
              <w:t>3</w:t>
            </w:r>
          </w:p>
        </w:tc>
        <w:tc>
          <w:tcPr>
            <w:tcW w:w="1010" w:type="dxa"/>
            <w:shd w:val="clear" w:color="auto" w:fill="auto"/>
            <w:vAlign w:val="center"/>
          </w:tcPr>
          <w:p w:rsidR="0042100E" w:rsidRPr="00C405F4" w:rsidRDefault="0042100E" w:rsidP="0042100E">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r w:rsidR="0042100E"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42100E" w:rsidRDefault="0042100E" w:rsidP="0042100E">
            <w:r>
              <w:t>Heidi Fowler</w:t>
            </w:r>
          </w:p>
          <w:p w:rsidR="0042100E" w:rsidRDefault="0042100E" w:rsidP="0042100E">
            <w:r>
              <w:rPr>
                <w:i/>
              </w:rPr>
              <w:t>EFS; CoHS, SAPC</w:t>
            </w:r>
            <w:r w:rsidRPr="00BD5C98">
              <w:rPr>
                <w:i/>
              </w:rPr>
              <w:t xml:space="preserve"> Chair</w:t>
            </w: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2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p>
        </w:tc>
        <w:tc>
          <w:tcPr>
            <w:tcW w:w="1010" w:type="dxa"/>
            <w:tcBorders>
              <w:bottom w:val="double" w:sz="4" w:space="0" w:color="auto"/>
            </w:tcBorders>
          </w:tcPr>
          <w:p w:rsidR="0042100E" w:rsidRDefault="0042100E" w:rsidP="0042100E">
            <w:pPr>
              <w:jc w:val="center"/>
              <w:rPr>
                <w:sz w:val="36"/>
                <w:szCs w:val="36"/>
              </w:rPr>
            </w:pP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3</w:t>
            </w:r>
          </w:p>
        </w:tc>
        <w:tc>
          <w:tcPr>
            <w:tcW w:w="1010" w:type="dxa"/>
            <w:tcBorders>
              <w:bottom w:val="double" w:sz="4" w:space="0" w:color="auto"/>
            </w:tcBorders>
            <w:shd w:val="clear" w:color="auto" w:fill="auto"/>
            <w:vAlign w:val="center"/>
          </w:tcPr>
          <w:p w:rsidR="0042100E" w:rsidRPr="00C405F4" w:rsidRDefault="0042100E" w:rsidP="0042100E">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42100E" w:rsidRPr="00C405F4" w:rsidRDefault="0042100E" w:rsidP="0042100E">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3A" w:rsidRDefault="002B683A">
      <w:r>
        <w:separator/>
      </w:r>
    </w:p>
    <w:p w:rsidR="002B683A" w:rsidRDefault="002B683A"/>
  </w:endnote>
  <w:endnote w:type="continuationSeparator" w:id="0">
    <w:p w:rsidR="002B683A" w:rsidRDefault="002B683A">
      <w:r>
        <w:continuationSeparator/>
      </w:r>
    </w:p>
    <w:p w:rsidR="002B683A" w:rsidRDefault="002B6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8D" w:rsidRDefault="00A87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7B" w:rsidRPr="009A508C" w:rsidRDefault="00D57A7B" w:rsidP="009A508C">
    <w:pPr>
      <w:pStyle w:val="Footer"/>
      <w:tabs>
        <w:tab w:val="clear" w:pos="8640"/>
        <w:tab w:val="right" w:pos="14310"/>
      </w:tabs>
      <w:rPr>
        <w:sz w:val="20"/>
        <w:szCs w:val="20"/>
      </w:rPr>
    </w:pPr>
    <w:r>
      <w:rPr>
        <w:i/>
        <w:sz w:val="20"/>
        <w:szCs w:val="20"/>
      </w:rPr>
      <w:t xml:space="preserve">2 December 2016 </w:t>
    </w:r>
    <w:r w:rsidRPr="009A508C">
      <w:rPr>
        <w:i/>
        <w:sz w:val="20"/>
        <w:szCs w:val="20"/>
      </w:rPr>
      <w:t>ECUS-SCC Meeting Minutes (</w:t>
    </w:r>
    <w:r w:rsidR="00A8748D">
      <w:rPr>
        <w:i/>
        <w:sz w:val="20"/>
        <w:szCs w:val="20"/>
      </w:rPr>
      <w:t xml:space="preserve">FINAL </w:t>
    </w:r>
    <w:r>
      <w:rPr>
        <w:i/>
        <w:sz w:val="20"/>
        <w:szCs w:val="20"/>
      </w:rPr>
      <w:t>DRAFT</w:t>
    </w:r>
    <w:bookmarkStart w:id="0" w:name="_GoBack"/>
    <w:bookmarkEnd w:id="0"/>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A8748D">
              <w:rPr>
                <w:bCs/>
                <w:i/>
                <w:noProof/>
                <w:sz w:val="20"/>
                <w:szCs w:val="20"/>
              </w:rPr>
              <w:t>1</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A8748D">
              <w:rPr>
                <w:bCs/>
                <w:i/>
                <w:noProof/>
                <w:sz w:val="20"/>
                <w:szCs w:val="20"/>
              </w:rPr>
              <w:t>22</w:t>
            </w:r>
            <w:r w:rsidRPr="009A508C">
              <w:rPr>
                <w:bCs/>
                <w:i/>
                <w:sz w:val="20"/>
                <w:szCs w:val="20"/>
              </w:rPr>
              <w:fldChar w:fldCharType="end"/>
            </w:r>
          </w:sdtContent>
        </w:sdt>
      </w:sdtContent>
    </w:sdt>
  </w:p>
  <w:p w:rsidR="00D57A7B" w:rsidRPr="00BB568D" w:rsidRDefault="00D57A7B"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8D" w:rsidRDefault="00A8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3A" w:rsidRDefault="002B683A">
      <w:r>
        <w:separator/>
      </w:r>
    </w:p>
    <w:p w:rsidR="002B683A" w:rsidRDefault="002B683A"/>
  </w:footnote>
  <w:footnote w:type="continuationSeparator" w:id="0">
    <w:p w:rsidR="002B683A" w:rsidRDefault="002B683A">
      <w:r>
        <w:continuationSeparator/>
      </w:r>
    </w:p>
    <w:p w:rsidR="002B683A" w:rsidRDefault="002B6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8D" w:rsidRDefault="00A87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8D" w:rsidRDefault="00A87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8D" w:rsidRDefault="00A87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9AA"/>
    <w:multiLevelType w:val="hybridMultilevel"/>
    <w:tmpl w:val="D7C8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3BDA"/>
    <w:multiLevelType w:val="hybridMultilevel"/>
    <w:tmpl w:val="86DC1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F25F7"/>
    <w:multiLevelType w:val="hybridMultilevel"/>
    <w:tmpl w:val="A02661CE"/>
    <w:lvl w:ilvl="0" w:tplc="0409001B">
      <w:start w:val="1"/>
      <w:numFmt w:val="lowerRoman"/>
      <w:lvlText w:val="%1."/>
      <w:lvlJc w:val="right"/>
      <w:pPr>
        <w:ind w:left="2340" w:hanging="360"/>
      </w:pPr>
    </w:lvl>
    <w:lvl w:ilvl="1" w:tplc="04090011">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54E6C"/>
    <w:multiLevelType w:val="hybridMultilevel"/>
    <w:tmpl w:val="8C1EE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E617E"/>
    <w:multiLevelType w:val="hybridMultilevel"/>
    <w:tmpl w:val="C32637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6412D"/>
    <w:multiLevelType w:val="hybridMultilevel"/>
    <w:tmpl w:val="F6A0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2400C4"/>
    <w:multiLevelType w:val="hybridMultilevel"/>
    <w:tmpl w:val="5E0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C75C3"/>
    <w:multiLevelType w:val="hybridMultilevel"/>
    <w:tmpl w:val="344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8592E"/>
    <w:multiLevelType w:val="hybridMultilevel"/>
    <w:tmpl w:val="9A6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45484"/>
    <w:multiLevelType w:val="hybridMultilevel"/>
    <w:tmpl w:val="0FF0A8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A5381A"/>
    <w:multiLevelType w:val="hybridMultilevel"/>
    <w:tmpl w:val="FA58AE80"/>
    <w:lvl w:ilvl="0" w:tplc="72DAA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2757D"/>
    <w:multiLevelType w:val="hybridMultilevel"/>
    <w:tmpl w:val="DF0C80D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B">
      <w:start w:val="1"/>
      <w:numFmt w:val="lowerRoman"/>
      <w:lvlText w:val="%4."/>
      <w:lvlJc w:val="righ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04BA1"/>
    <w:multiLevelType w:val="hybridMultilevel"/>
    <w:tmpl w:val="62F84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03378"/>
    <w:multiLevelType w:val="hybridMultilevel"/>
    <w:tmpl w:val="7BB0A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806D97"/>
    <w:multiLevelType w:val="hybridMultilevel"/>
    <w:tmpl w:val="08727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12A3512"/>
    <w:multiLevelType w:val="hybridMultilevel"/>
    <w:tmpl w:val="76700E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293C3B"/>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55E0B"/>
    <w:multiLevelType w:val="hybridMultilevel"/>
    <w:tmpl w:val="01F6778A"/>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161A7E"/>
    <w:multiLevelType w:val="hybridMultilevel"/>
    <w:tmpl w:val="32404EF0"/>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669CF"/>
    <w:multiLevelType w:val="hybridMultilevel"/>
    <w:tmpl w:val="D72AF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3E1E09"/>
    <w:multiLevelType w:val="hybridMultilevel"/>
    <w:tmpl w:val="E3A01E9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902816"/>
    <w:multiLevelType w:val="hybridMultilevel"/>
    <w:tmpl w:val="4D3429E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A17267"/>
    <w:multiLevelType w:val="hybridMultilevel"/>
    <w:tmpl w:val="2FF4F6C2"/>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C6804"/>
    <w:multiLevelType w:val="hybridMultilevel"/>
    <w:tmpl w:val="3AF42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F25FD"/>
    <w:multiLevelType w:val="hybridMultilevel"/>
    <w:tmpl w:val="665C3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C608E"/>
    <w:multiLevelType w:val="hybridMultilevel"/>
    <w:tmpl w:val="E2B60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F4FF4"/>
    <w:multiLevelType w:val="hybridMultilevel"/>
    <w:tmpl w:val="097E6C74"/>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19"/>
  </w:num>
  <w:num w:numId="4">
    <w:abstractNumId w:val="7"/>
  </w:num>
  <w:num w:numId="5">
    <w:abstractNumId w:val="28"/>
  </w:num>
  <w:num w:numId="6">
    <w:abstractNumId w:val="12"/>
  </w:num>
  <w:num w:numId="7">
    <w:abstractNumId w:val="13"/>
  </w:num>
  <w:num w:numId="8">
    <w:abstractNumId w:val="17"/>
  </w:num>
  <w:num w:numId="9">
    <w:abstractNumId w:val="4"/>
  </w:num>
  <w:num w:numId="10">
    <w:abstractNumId w:val="21"/>
  </w:num>
  <w:num w:numId="11">
    <w:abstractNumId w:val="2"/>
  </w:num>
  <w:num w:numId="12">
    <w:abstractNumId w:val="29"/>
  </w:num>
  <w:num w:numId="13">
    <w:abstractNumId w:val="35"/>
  </w:num>
  <w:num w:numId="14">
    <w:abstractNumId w:val="4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1"/>
  </w:num>
  <w:num w:numId="18">
    <w:abstractNumId w:val="27"/>
  </w:num>
  <w:num w:numId="19">
    <w:abstractNumId w:val="31"/>
  </w:num>
  <w:num w:numId="20">
    <w:abstractNumId w:val="40"/>
  </w:num>
  <w:num w:numId="21">
    <w:abstractNumId w:val="5"/>
  </w:num>
  <w:num w:numId="22">
    <w:abstractNumId w:val="16"/>
  </w:num>
  <w:num w:numId="23">
    <w:abstractNumId w:val="3"/>
  </w:num>
  <w:num w:numId="24">
    <w:abstractNumId w:val="8"/>
  </w:num>
  <w:num w:numId="25">
    <w:abstractNumId w:val="36"/>
  </w:num>
  <w:num w:numId="26">
    <w:abstractNumId w:val="1"/>
  </w:num>
  <w:num w:numId="27">
    <w:abstractNumId w:val="33"/>
  </w:num>
  <w:num w:numId="28">
    <w:abstractNumId w:val="38"/>
  </w:num>
  <w:num w:numId="29">
    <w:abstractNumId w:val="18"/>
  </w:num>
  <w:num w:numId="30">
    <w:abstractNumId w:val="14"/>
  </w:num>
  <w:num w:numId="31">
    <w:abstractNumId w:val="22"/>
  </w:num>
  <w:num w:numId="32">
    <w:abstractNumId w:val="10"/>
  </w:num>
  <w:num w:numId="33">
    <w:abstractNumId w:val="24"/>
  </w:num>
  <w:num w:numId="34">
    <w:abstractNumId w:val="30"/>
  </w:num>
  <w:num w:numId="35">
    <w:abstractNumId w:val="20"/>
  </w:num>
  <w:num w:numId="36">
    <w:abstractNumId w:val="34"/>
  </w:num>
  <w:num w:numId="37">
    <w:abstractNumId w:val="23"/>
  </w:num>
  <w:num w:numId="38">
    <w:abstractNumId w:val="15"/>
  </w:num>
  <w:num w:numId="39">
    <w:abstractNumId w:val="37"/>
  </w:num>
  <w:num w:numId="40">
    <w:abstractNumId w:val="6"/>
  </w:num>
  <w:num w:numId="41">
    <w:abstractNumId w:val="39"/>
  </w:num>
  <w:num w:numId="42">
    <w:abstractNumId w:val="9"/>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563D"/>
    <w:rsid w:val="0000569A"/>
    <w:rsid w:val="00006170"/>
    <w:rsid w:val="00006FCE"/>
    <w:rsid w:val="00007112"/>
    <w:rsid w:val="00007160"/>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CB0"/>
    <w:rsid w:val="00061DD8"/>
    <w:rsid w:val="000700DD"/>
    <w:rsid w:val="00071A3E"/>
    <w:rsid w:val="00071C41"/>
    <w:rsid w:val="00072249"/>
    <w:rsid w:val="0007241A"/>
    <w:rsid w:val="00072DB0"/>
    <w:rsid w:val="0007340E"/>
    <w:rsid w:val="00073743"/>
    <w:rsid w:val="0007381D"/>
    <w:rsid w:val="00073881"/>
    <w:rsid w:val="00073A00"/>
    <w:rsid w:val="000766DE"/>
    <w:rsid w:val="00080771"/>
    <w:rsid w:val="000816B7"/>
    <w:rsid w:val="00082EF4"/>
    <w:rsid w:val="0008395E"/>
    <w:rsid w:val="00083FB7"/>
    <w:rsid w:val="000847D9"/>
    <w:rsid w:val="00084EBF"/>
    <w:rsid w:val="00085C85"/>
    <w:rsid w:val="00085E03"/>
    <w:rsid w:val="00087470"/>
    <w:rsid w:val="00087F75"/>
    <w:rsid w:val="00091B99"/>
    <w:rsid w:val="00092D4A"/>
    <w:rsid w:val="00093A47"/>
    <w:rsid w:val="00093B3C"/>
    <w:rsid w:val="000941CF"/>
    <w:rsid w:val="0009458A"/>
    <w:rsid w:val="00094A52"/>
    <w:rsid w:val="00094DB5"/>
    <w:rsid w:val="00095528"/>
    <w:rsid w:val="0009589C"/>
    <w:rsid w:val="0009789B"/>
    <w:rsid w:val="00097D76"/>
    <w:rsid w:val="000A3509"/>
    <w:rsid w:val="000A4AB2"/>
    <w:rsid w:val="000A5059"/>
    <w:rsid w:val="000A52BE"/>
    <w:rsid w:val="000B0A1E"/>
    <w:rsid w:val="000B1324"/>
    <w:rsid w:val="000B1DC6"/>
    <w:rsid w:val="000B3753"/>
    <w:rsid w:val="000B5ED2"/>
    <w:rsid w:val="000B6AB3"/>
    <w:rsid w:val="000B7F80"/>
    <w:rsid w:val="000C09CA"/>
    <w:rsid w:val="000C1574"/>
    <w:rsid w:val="000C3869"/>
    <w:rsid w:val="000C4A09"/>
    <w:rsid w:val="000C6E2D"/>
    <w:rsid w:val="000D0069"/>
    <w:rsid w:val="000D1100"/>
    <w:rsid w:val="000D1DF9"/>
    <w:rsid w:val="000D2801"/>
    <w:rsid w:val="000D2E8A"/>
    <w:rsid w:val="000D4284"/>
    <w:rsid w:val="000D4A8A"/>
    <w:rsid w:val="000D4B08"/>
    <w:rsid w:val="000D58CF"/>
    <w:rsid w:val="000D74B8"/>
    <w:rsid w:val="000D7D25"/>
    <w:rsid w:val="000E0728"/>
    <w:rsid w:val="000E08C7"/>
    <w:rsid w:val="000E32B7"/>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6A03"/>
    <w:rsid w:val="001173DF"/>
    <w:rsid w:val="00117638"/>
    <w:rsid w:val="00122B28"/>
    <w:rsid w:val="001261D8"/>
    <w:rsid w:val="001302B7"/>
    <w:rsid w:val="001304C3"/>
    <w:rsid w:val="001308CF"/>
    <w:rsid w:val="00132A57"/>
    <w:rsid w:val="001348DC"/>
    <w:rsid w:val="001379B4"/>
    <w:rsid w:val="00137C9B"/>
    <w:rsid w:val="00141937"/>
    <w:rsid w:val="001435AF"/>
    <w:rsid w:val="00144EAE"/>
    <w:rsid w:val="0014666D"/>
    <w:rsid w:val="001469CD"/>
    <w:rsid w:val="001471C4"/>
    <w:rsid w:val="00150A05"/>
    <w:rsid w:val="001512B6"/>
    <w:rsid w:val="0015215D"/>
    <w:rsid w:val="00153001"/>
    <w:rsid w:val="001534E1"/>
    <w:rsid w:val="00155A09"/>
    <w:rsid w:val="00156B01"/>
    <w:rsid w:val="00156CE9"/>
    <w:rsid w:val="0016017E"/>
    <w:rsid w:val="00160B21"/>
    <w:rsid w:val="00160DBB"/>
    <w:rsid w:val="0016137D"/>
    <w:rsid w:val="00163F18"/>
    <w:rsid w:val="00164A00"/>
    <w:rsid w:val="00164FAA"/>
    <w:rsid w:val="0016533F"/>
    <w:rsid w:val="00166090"/>
    <w:rsid w:val="00167835"/>
    <w:rsid w:val="00171C47"/>
    <w:rsid w:val="00171EE3"/>
    <w:rsid w:val="001736BC"/>
    <w:rsid w:val="00174C70"/>
    <w:rsid w:val="00175615"/>
    <w:rsid w:val="00176A6A"/>
    <w:rsid w:val="00177F8A"/>
    <w:rsid w:val="00177FFE"/>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3233"/>
    <w:rsid w:val="001A4B3A"/>
    <w:rsid w:val="001A6802"/>
    <w:rsid w:val="001A73DE"/>
    <w:rsid w:val="001B10A9"/>
    <w:rsid w:val="001B1C81"/>
    <w:rsid w:val="001B2C4B"/>
    <w:rsid w:val="001B2E60"/>
    <w:rsid w:val="001B43AC"/>
    <w:rsid w:val="001B5407"/>
    <w:rsid w:val="001B5EC4"/>
    <w:rsid w:val="001B5F58"/>
    <w:rsid w:val="001B749D"/>
    <w:rsid w:val="001B790D"/>
    <w:rsid w:val="001B7FB2"/>
    <w:rsid w:val="001C27C2"/>
    <w:rsid w:val="001C2CE5"/>
    <w:rsid w:val="001C5290"/>
    <w:rsid w:val="001C6BB8"/>
    <w:rsid w:val="001C7C55"/>
    <w:rsid w:val="001C7F61"/>
    <w:rsid w:val="001D0AE9"/>
    <w:rsid w:val="001D1AE8"/>
    <w:rsid w:val="001D31B6"/>
    <w:rsid w:val="001D333E"/>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2FB0"/>
    <w:rsid w:val="001F7104"/>
    <w:rsid w:val="001F7821"/>
    <w:rsid w:val="002001DF"/>
    <w:rsid w:val="002009D4"/>
    <w:rsid w:val="002026C1"/>
    <w:rsid w:val="002030A1"/>
    <w:rsid w:val="002032A3"/>
    <w:rsid w:val="00204126"/>
    <w:rsid w:val="00205B67"/>
    <w:rsid w:val="00211299"/>
    <w:rsid w:val="00211A4E"/>
    <w:rsid w:val="00213868"/>
    <w:rsid w:val="00214C1F"/>
    <w:rsid w:val="00215985"/>
    <w:rsid w:val="00220FBF"/>
    <w:rsid w:val="00223013"/>
    <w:rsid w:val="002234C9"/>
    <w:rsid w:val="002249D9"/>
    <w:rsid w:val="002262C8"/>
    <w:rsid w:val="00227231"/>
    <w:rsid w:val="002277F8"/>
    <w:rsid w:val="00230633"/>
    <w:rsid w:val="0023163B"/>
    <w:rsid w:val="002316A4"/>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333C"/>
    <w:rsid w:val="00266182"/>
    <w:rsid w:val="002662E1"/>
    <w:rsid w:val="00266E17"/>
    <w:rsid w:val="00267795"/>
    <w:rsid w:val="0027219F"/>
    <w:rsid w:val="00272627"/>
    <w:rsid w:val="0027349A"/>
    <w:rsid w:val="00273D20"/>
    <w:rsid w:val="00273F36"/>
    <w:rsid w:val="002760BE"/>
    <w:rsid w:val="00276814"/>
    <w:rsid w:val="00284FFE"/>
    <w:rsid w:val="002904D2"/>
    <w:rsid w:val="002923CE"/>
    <w:rsid w:val="0029394F"/>
    <w:rsid w:val="00293D3D"/>
    <w:rsid w:val="00293F1F"/>
    <w:rsid w:val="00294459"/>
    <w:rsid w:val="002948C2"/>
    <w:rsid w:val="0029520F"/>
    <w:rsid w:val="002959C6"/>
    <w:rsid w:val="00297C9B"/>
    <w:rsid w:val="002A0BD1"/>
    <w:rsid w:val="002A0EF9"/>
    <w:rsid w:val="002A1141"/>
    <w:rsid w:val="002A188C"/>
    <w:rsid w:val="002A6129"/>
    <w:rsid w:val="002B0A44"/>
    <w:rsid w:val="002B62C6"/>
    <w:rsid w:val="002B683A"/>
    <w:rsid w:val="002C221C"/>
    <w:rsid w:val="002C2B53"/>
    <w:rsid w:val="002C2B8D"/>
    <w:rsid w:val="002C3502"/>
    <w:rsid w:val="002C43CF"/>
    <w:rsid w:val="002C44B2"/>
    <w:rsid w:val="002C6830"/>
    <w:rsid w:val="002C7BEC"/>
    <w:rsid w:val="002D1B0A"/>
    <w:rsid w:val="002D1B83"/>
    <w:rsid w:val="002D35C6"/>
    <w:rsid w:val="002D4205"/>
    <w:rsid w:val="002D4E22"/>
    <w:rsid w:val="002D6044"/>
    <w:rsid w:val="002E1174"/>
    <w:rsid w:val="002E176C"/>
    <w:rsid w:val="002E1DA7"/>
    <w:rsid w:val="002E21C6"/>
    <w:rsid w:val="002E2810"/>
    <w:rsid w:val="002E2D4A"/>
    <w:rsid w:val="002E5125"/>
    <w:rsid w:val="002E5616"/>
    <w:rsid w:val="002E60A8"/>
    <w:rsid w:val="002E7D9A"/>
    <w:rsid w:val="002F186D"/>
    <w:rsid w:val="002F2058"/>
    <w:rsid w:val="00300223"/>
    <w:rsid w:val="003022C3"/>
    <w:rsid w:val="00302C10"/>
    <w:rsid w:val="00304408"/>
    <w:rsid w:val="00305F4B"/>
    <w:rsid w:val="00306222"/>
    <w:rsid w:val="00306487"/>
    <w:rsid w:val="003101FF"/>
    <w:rsid w:val="00314F56"/>
    <w:rsid w:val="00315DAC"/>
    <w:rsid w:val="0031727B"/>
    <w:rsid w:val="00320708"/>
    <w:rsid w:val="003216E0"/>
    <w:rsid w:val="00324D96"/>
    <w:rsid w:val="003276C0"/>
    <w:rsid w:val="003321CA"/>
    <w:rsid w:val="00335459"/>
    <w:rsid w:val="0033587C"/>
    <w:rsid w:val="00335B6A"/>
    <w:rsid w:val="00335DDC"/>
    <w:rsid w:val="00336191"/>
    <w:rsid w:val="00336ACD"/>
    <w:rsid w:val="00340DAD"/>
    <w:rsid w:val="003411D6"/>
    <w:rsid w:val="003433AD"/>
    <w:rsid w:val="00344DC9"/>
    <w:rsid w:val="00344E3A"/>
    <w:rsid w:val="0034566D"/>
    <w:rsid w:val="0034571A"/>
    <w:rsid w:val="003466E1"/>
    <w:rsid w:val="00352A47"/>
    <w:rsid w:val="003541A3"/>
    <w:rsid w:val="00357009"/>
    <w:rsid w:val="00360F2F"/>
    <w:rsid w:val="003635E4"/>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54E6"/>
    <w:rsid w:val="003865FF"/>
    <w:rsid w:val="00387A79"/>
    <w:rsid w:val="0039014C"/>
    <w:rsid w:val="003911FF"/>
    <w:rsid w:val="0039358F"/>
    <w:rsid w:val="00394D04"/>
    <w:rsid w:val="003977C1"/>
    <w:rsid w:val="003A05D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681E"/>
    <w:rsid w:val="003D45BC"/>
    <w:rsid w:val="003D488A"/>
    <w:rsid w:val="003D5786"/>
    <w:rsid w:val="003D7DC5"/>
    <w:rsid w:val="003E0332"/>
    <w:rsid w:val="003E0C1F"/>
    <w:rsid w:val="003E1840"/>
    <w:rsid w:val="003E26C7"/>
    <w:rsid w:val="003E3D44"/>
    <w:rsid w:val="003F299C"/>
    <w:rsid w:val="003F443A"/>
    <w:rsid w:val="003F4AA3"/>
    <w:rsid w:val="003F64C8"/>
    <w:rsid w:val="003F707D"/>
    <w:rsid w:val="00400D60"/>
    <w:rsid w:val="0040146E"/>
    <w:rsid w:val="0040653E"/>
    <w:rsid w:val="00407CEC"/>
    <w:rsid w:val="00411290"/>
    <w:rsid w:val="00412782"/>
    <w:rsid w:val="004135B7"/>
    <w:rsid w:val="004138E9"/>
    <w:rsid w:val="004156F1"/>
    <w:rsid w:val="00420C5C"/>
    <w:rsid w:val="0042100E"/>
    <w:rsid w:val="00422449"/>
    <w:rsid w:val="004227DE"/>
    <w:rsid w:val="004239B7"/>
    <w:rsid w:val="00423BFE"/>
    <w:rsid w:val="004252D2"/>
    <w:rsid w:val="0042583D"/>
    <w:rsid w:val="0043058D"/>
    <w:rsid w:val="00430B21"/>
    <w:rsid w:val="0043188A"/>
    <w:rsid w:val="00432500"/>
    <w:rsid w:val="0043663F"/>
    <w:rsid w:val="004370AD"/>
    <w:rsid w:val="00444980"/>
    <w:rsid w:val="00446EF4"/>
    <w:rsid w:val="00447558"/>
    <w:rsid w:val="00447A2A"/>
    <w:rsid w:val="004514D1"/>
    <w:rsid w:val="00454DA6"/>
    <w:rsid w:val="004551DC"/>
    <w:rsid w:val="004553C6"/>
    <w:rsid w:val="00455A30"/>
    <w:rsid w:val="00461ADD"/>
    <w:rsid w:val="00461C79"/>
    <w:rsid w:val="0046209C"/>
    <w:rsid w:val="0046684A"/>
    <w:rsid w:val="004675D4"/>
    <w:rsid w:val="004701F8"/>
    <w:rsid w:val="00473E8E"/>
    <w:rsid w:val="00474D53"/>
    <w:rsid w:val="004759E3"/>
    <w:rsid w:val="004760C2"/>
    <w:rsid w:val="00476254"/>
    <w:rsid w:val="0047678D"/>
    <w:rsid w:val="00476F3E"/>
    <w:rsid w:val="004772AD"/>
    <w:rsid w:val="00481A3E"/>
    <w:rsid w:val="00481C57"/>
    <w:rsid w:val="00483A75"/>
    <w:rsid w:val="004842FF"/>
    <w:rsid w:val="004857B6"/>
    <w:rsid w:val="00485A33"/>
    <w:rsid w:val="00485BED"/>
    <w:rsid w:val="00486C18"/>
    <w:rsid w:val="0048774D"/>
    <w:rsid w:val="004904A5"/>
    <w:rsid w:val="00490DDA"/>
    <w:rsid w:val="0049195C"/>
    <w:rsid w:val="0049290A"/>
    <w:rsid w:val="00492CE2"/>
    <w:rsid w:val="00492D7A"/>
    <w:rsid w:val="0049345D"/>
    <w:rsid w:val="00496749"/>
    <w:rsid w:val="004A28B2"/>
    <w:rsid w:val="004A33B7"/>
    <w:rsid w:val="004A36BE"/>
    <w:rsid w:val="004A563E"/>
    <w:rsid w:val="004A56D1"/>
    <w:rsid w:val="004A58D6"/>
    <w:rsid w:val="004A5B2F"/>
    <w:rsid w:val="004A6A23"/>
    <w:rsid w:val="004A7B03"/>
    <w:rsid w:val="004B1C53"/>
    <w:rsid w:val="004B3186"/>
    <w:rsid w:val="004B5928"/>
    <w:rsid w:val="004B653B"/>
    <w:rsid w:val="004C009E"/>
    <w:rsid w:val="004C2776"/>
    <w:rsid w:val="004C34BF"/>
    <w:rsid w:val="004C5177"/>
    <w:rsid w:val="004D28B6"/>
    <w:rsid w:val="004D564D"/>
    <w:rsid w:val="004D6D57"/>
    <w:rsid w:val="004E039B"/>
    <w:rsid w:val="004E03F9"/>
    <w:rsid w:val="004E1440"/>
    <w:rsid w:val="004E27F4"/>
    <w:rsid w:val="004E2B17"/>
    <w:rsid w:val="004E339B"/>
    <w:rsid w:val="004E3901"/>
    <w:rsid w:val="004E4935"/>
    <w:rsid w:val="004E7953"/>
    <w:rsid w:val="004F02A9"/>
    <w:rsid w:val="004F3101"/>
    <w:rsid w:val="004F3323"/>
    <w:rsid w:val="004F5424"/>
    <w:rsid w:val="004F5681"/>
    <w:rsid w:val="004F5DB5"/>
    <w:rsid w:val="004F619E"/>
    <w:rsid w:val="005003EB"/>
    <w:rsid w:val="005007F5"/>
    <w:rsid w:val="005018A9"/>
    <w:rsid w:val="005027B2"/>
    <w:rsid w:val="00502CBC"/>
    <w:rsid w:val="00505DBD"/>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91F"/>
    <w:rsid w:val="00555BD2"/>
    <w:rsid w:val="00555FAD"/>
    <w:rsid w:val="00564885"/>
    <w:rsid w:val="00567378"/>
    <w:rsid w:val="005675E5"/>
    <w:rsid w:val="005678F7"/>
    <w:rsid w:val="00571EB8"/>
    <w:rsid w:val="00573109"/>
    <w:rsid w:val="0057469B"/>
    <w:rsid w:val="0057499E"/>
    <w:rsid w:val="00575C81"/>
    <w:rsid w:val="0057653A"/>
    <w:rsid w:val="00581260"/>
    <w:rsid w:val="005854D8"/>
    <w:rsid w:val="0058571C"/>
    <w:rsid w:val="00585D3F"/>
    <w:rsid w:val="00587DE3"/>
    <w:rsid w:val="005908DD"/>
    <w:rsid w:val="00591D2D"/>
    <w:rsid w:val="00593148"/>
    <w:rsid w:val="005935D2"/>
    <w:rsid w:val="00594A30"/>
    <w:rsid w:val="0059600F"/>
    <w:rsid w:val="005964EE"/>
    <w:rsid w:val="005A0043"/>
    <w:rsid w:val="005A15AC"/>
    <w:rsid w:val="005A19C0"/>
    <w:rsid w:val="005A2010"/>
    <w:rsid w:val="005A2CA3"/>
    <w:rsid w:val="005A4449"/>
    <w:rsid w:val="005A59A2"/>
    <w:rsid w:val="005A60FB"/>
    <w:rsid w:val="005B1D0A"/>
    <w:rsid w:val="005B3A28"/>
    <w:rsid w:val="005B515B"/>
    <w:rsid w:val="005B71C1"/>
    <w:rsid w:val="005C10D2"/>
    <w:rsid w:val="005C2740"/>
    <w:rsid w:val="005C2F42"/>
    <w:rsid w:val="005C3C60"/>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C5"/>
    <w:rsid w:val="005E6DE5"/>
    <w:rsid w:val="005F0E9E"/>
    <w:rsid w:val="005F1E77"/>
    <w:rsid w:val="005F6F77"/>
    <w:rsid w:val="005F7754"/>
    <w:rsid w:val="00600159"/>
    <w:rsid w:val="006015DC"/>
    <w:rsid w:val="00601C19"/>
    <w:rsid w:val="00602052"/>
    <w:rsid w:val="006021D2"/>
    <w:rsid w:val="00603D31"/>
    <w:rsid w:val="0060409A"/>
    <w:rsid w:val="00604F58"/>
    <w:rsid w:val="00606235"/>
    <w:rsid w:val="006119E0"/>
    <w:rsid w:val="0061378A"/>
    <w:rsid w:val="0061531C"/>
    <w:rsid w:val="00615C93"/>
    <w:rsid w:val="00615E39"/>
    <w:rsid w:val="006235DD"/>
    <w:rsid w:val="00625D10"/>
    <w:rsid w:val="00632A32"/>
    <w:rsid w:val="0063568C"/>
    <w:rsid w:val="0063582F"/>
    <w:rsid w:val="0063695D"/>
    <w:rsid w:val="00637B86"/>
    <w:rsid w:val="0064028B"/>
    <w:rsid w:val="00642F1D"/>
    <w:rsid w:val="00643300"/>
    <w:rsid w:val="0064487F"/>
    <w:rsid w:val="00646059"/>
    <w:rsid w:val="00646293"/>
    <w:rsid w:val="00646548"/>
    <w:rsid w:val="00647006"/>
    <w:rsid w:val="00650251"/>
    <w:rsid w:val="0065280B"/>
    <w:rsid w:val="006528DE"/>
    <w:rsid w:val="00653772"/>
    <w:rsid w:val="00653BA6"/>
    <w:rsid w:val="006569AC"/>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4AF9"/>
    <w:rsid w:val="006950AD"/>
    <w:rsid w:val="00696F10"/>
    <w:rsid w:val="0069775E"/>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1FC9"/>
    <w:rsid w:val="006D4A47"/>
    <w:rsid w:val="006D4FCC"/>
    <w:rsid w:val="006E0D73"/>
    <w:rsid w:val="006E196D"/>
    <w:rsid w:val="006E2480"/>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541F"/>
    <w:rsid w:val="007374E2"/>
    <w:rsid w:val="007375AE"/>
    <w:rsid w:val="00742AF9"/>
    <w:rsid w:val="0074326A"/>
    <w:rsid w:val="00744590"/>
    <w:rsid w:val="00745131"/>
    <w:rsid w:val="007467CF"/>
    <w:rsid w:val="00747C12"/>
    <w:rsid w:val="00750727"/>
    <w:rsid w:val="007541D0"/>
    <w:rsid w:val="00755F82"/>
    <w:rsid w:val="00757AD4"/>
    <w:rsid w:val="00760095"/>
    <w:rsid w:val="00761083"/>
    <w:rsid w:val="007635CA"/>
    <w:rsid w:val="00763AF0"/>
    <w:rsid w:val="00764EE8"/>
    <w:rsid w:val="00770396"/>
    <w:rsid w:val="00770977"/>
    <w:rsid w:val="007717E5"/>
    <w:rsid w:val="0077197A"/>
    <w:rsid w:val="007733CA"/>
    <w:rsid w:val="0077424E"/>
    <w:rsid w:val="00775D18"/>
    <w:rsid w:val="00777C98"/>
    <w:rsid w:val="00780F44"/>
    <w:rsid w:val="0078107A"/>
    <w:rsid w:val="007815EC"/>
    <w:rsid w:val="007836D5"/>
    <w:rsid w:val="00787C75"/>
    <w:rsid w:val="0079008F"/>
    <w:rsid w:val="00790D29"/>
    <w:rsid w:val="0079245D"/>
    <w:rsid w:val="007943FF"/>
    <w:rsid w:val="007954C4"/>
    <w:rsid w:val="0079568F"/>
    <w:rsid w:val="007A1C8D"/>
    <w:rsid w:val="007A223E"/>
    <w:rsid w:val="007A43CA"/>
    <w:rsid w:val="007A67B5"/>
    <w:rsid w:val="007A6BFA"/>
    <w:rsid w:val="007A74A5"/>
    <w:rsid w:val="007A7FA3"/>
    <w:rsid w:val="007B10D7"/>
    <w:rsid w:val="007B1B52"/>
    <w:rsid w:val="007B1F03"/>
    <w:rsid w:val="007B3D8F"/>
    <w:rsid w:val="007B4E9D"/>
    <w:rsid w:val="007B6447"/>
    <w:rsid w:val="007B7000"/>
    <w:rsid w:val="007B75FA"/>
    <w:rsid w:val="007B776E"/>
    <w:rsid w:val="007C12FC"/>
    <w:rsid w:val="007C1797"/>
    <w:rsid w:val="007C312F"/>
    <w:rsid w:val="007C573D"/>
    <w:rsid w:val="007C73BD"/>
    <w:rsid w:val="007D0963"/>
    <w:rsid w:val="007D20E5"/>
    <w:rsid w:val="007D2187"/>
    <w:rsid w:val="007D2387"/>
    <w:rsid w:val="007D3D33"/>
    <w:rsid w:val="007D6605"/>
    <w:rsid w:val="007D6CB9"/>
    <w:rsid w:val="007E165E"/>
    <w:rsid w:val="007E3DCF"/>
    <w:rsid w:val="007E4751"/>
    <w:rsid w:val="007E5D0A"/>
    <w:rsid w:val="007E6311"/>
    <w:rsid w:val="007E6768"/>
    <w:rsid w:val="007F3DC0"/>
    <w:rsid w:val="007F49A8"/>
    <w:rsid w:val="007F4EF4"/>
    <w:rsid w:val="007F6396"/>
    <w:rsid w:val="007F789C"/>
    <w:rsid w:val="007F79C2"/>
    <w:rsid w:val="0080094E"/>
    <w:rsid w:val="008013C1"/>
    <w:rsid w:val="00802385"/>
    <w:rsid w:val="0080605E"/>
    <w:rsid w:val="00807199"/>
    <w:rsid w:val="008122E0"/>
    <w:rsid w:val="0081270C"/>
    <w:rsid w:val="00812A42"/>
    <w:rsid w:val="00814D44"/>
    <w:rsid w:val="008153AC"/>
    <w:rsid w:val="008202B5"/>
    <w:rsid w:val="00820B08"/>
    <w:rsid w:val="00830C5C"/>
    <w:rsid w:val="00831659"/>
    <w:rsid w:val="00831E02"/>
    <w:rsid w:val="00832C35"/>
    <w:rsid w:val="0083321E"/>
    <w:rsid w:val="0083380A"/>
    <w:rsid w:val="00833863"/>
    <w:rsid w:val="0083426E"/>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BF1"/>
    <w:rsid w:val="00866471"/>
    <w:rsid w:val="00866F33"/>
    <w:rsid w:val="00870EEB"/>
    <w:rsid w:val="00871037"/>
    <w:rsid w:val="0087131B"/>
    <w:rsid w:val="0087169A"/>
    <w:rsid w:val="00875EFE"/>
    <w:rsid w:val="008777C2"/>
    <w:rsid w:val="008806AA"/>
    <w:rsid w:val="00880ECD"/>
    <w:rsid w:val="00881994"/>
    <w:rsid w:val="00882493"/>
    <w:rsid w:val="00882AB8"/>
    <w:rsid w:val="00883914"/>
    <w:rsid w:val="00884B8C"/>
    <w:rsid w:val="00885607"/>
    <w:rsid w:val="00886936"/>
    <w:rsid w:val="00887E50"/>
    <w:rsid w:val="008923C9"/>
    <w:rsid w:val="00892A7C"/>
    <w:rsid w:val="00892D54"/>
    <w:rsid w:val="0089336E"/>
    <w:rsid w:val="00893A57"/>
    <w:rsid w:val="00894968"/>
    <w:rsid w:val="00895C92"/>
    <w:rsid w:val="00896E72"/>
    <w:rsid w:val="00896F42"/>
    <w:rsid w:val="008A20A6"/>
    <w:rsid w:val="008A5926"/>
    <w:rsid w:val="008A5E48"/>
    <w:rsid w:val="008A664A"/>
    <w:rsid w:val="008A6868"/>
    <w:rsid w:val="008B1877"/>
    <w:rsid w:val="008B38CD"/>
    <w:rsid w:val="008B46AF"/>
    <w:rsid w:val="008B47DA"/>
    <w:rsid w:val="008B4AEB"/>
    <w:rsid w:val="008B6B49"/>
    <w:rsid w:val="008B6FE1"/>
    <w:rsid w:val="008B7765"/>
    <w:rsid w:val="008B78A7"/>
    <w:rsid w:val="008C0A62"/>
    <w:rsid w:val="008C434C"/>
    <w:rsid w:val="008C501F"/>
    <w:rsid w:val="008C53ED"/>
    <w:rsid w:val="008C5F1D"/>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C2B"/>
    <w:rsid w:val="008F2FD3"/>
    <w:rsid w:val="008F4B1C"/>
    <w:rsid w:val="008F4E62"/>
    <w:rsid w:val="0090052F"/>
    <w:rsid w:val="0090074B"/>
    <w:rsid w:val="00900B92"/>
    <w:rsid w:val="00901D22"/>
    <w:rsid w:val="00904B4A"/>
    <w:rsid w:val="00904BE5"/>
    <w:rsid w:val="00905122"/>
    <w:rsid w:val="00905A83"/>
    <w:rsid w:val="00905EE1"/>
    <w:rsid w:val="0091175D"/>
    <w:rsid w:val="00912480"/>
    <w:rsid w:val="00912D39"/>
    <w:rsid w:val="00914C28"/>
    <w:rsid w:val="00916673"/>
    <w:rsid w:val="0092277E"/>
    <w:rsid w:val="009231DE"/>
    <w:rsid w:val="009238E8"/>
    <w:rsid w:val="00925A68"/>
    <w:rsid w:val="00925BEF"/>
    <w:rsid w:val="00926906"/>
    <w:rsid w:val="009279BF"/>
    <w:rsid w:val="009301B7"/>
    <w:rsid w:val="00932875"/>
    <w:rsid w:val="009337C9"/>
    <w:rsid w:val="00933ED3"/>
    <w:rsid w:val="0093491D"/>
    <w:rsid w:val="00935167"/>
    <w:rsid w:val="009368FB"/>
    <w:rsid w:val="00936ECB"/>
    <w:rsid w:val="009375B5"/>
    <w:rsid w:val="009377DB"/>
    <w:rsid w:val="00937F4F"/>
    <w:rsid w:val="00940412"/>
    <w:rsid w:val="00940D7D"/>
    <w:rsid w:val="009414BD"/>
    <w:rsid w:val="00942029"/>
    <w:rsid w:val="009421E4"/>
    <w:rsid w:val="0094252D"/>
    <w:rsid w:val="009431FD"/>
    <w:rsid w:val="009443B0"/>
    <w:rsid w:val="0094481E"/>
    <w:rsid w:val="00945CA2"/>
    <w:rsid w:val="00947867"/>
    <w:rsid w:val="00947CF9"/>
    <w:rsid w:val="00951F1A"/>
    <w:rsid w:val="00952F5C"/>
    <w:rsid w:val="00953E6E"/>
    <w:rsid w:val="009548B9"/>
    <w:rsid w:val="00955914"/>
    <w:rsid w:val="00956170"/>
    <w:rsid w:val="00956BAC"/>
    <w:rsid w:val="00957C16"/>
    <w:rsid w:val="00960D9B"/>
    <w:rsid w:val="00961D27"/>
    <w:rsid w:val="009627A3"/>
    <w:rsid w:val="0096363C"/>
    <w:rsid w:val="00964974"/>
    <w:rsid w:val="00967EF8"/>
    <w:rsid w:val="00971F6B"/>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4173"/>
    <w:rsid w:val="00995E84"/>
    <w:rsid w:val="00995F31"/>
    <w:rsid w:val="00996160"/>
    <w:rsid w:val="00996D57"/>
    <w:rsid w:val="009971C5"/>
    <w:rsid w:val="009A05E3"/>
    <w:rsid w:val="009A1D4D"/>
    <w:rsid w:val="009A40E3"/>
    <w:rsid w:val="009A508C"/>
    <w:rsid w:val="009A7AE6"/>
    <w:rsid w:val="009A7DBB"/>
    <w:rsid w:val="009B022B"/>
    <w:rsid w:val="009B0966"/>
    <w:rsid w:val="009B0B75"/>
    <w:rsid w:val="009B130F"/>
    <w:rsid w:val="009B296A"/>
    <w:rsid w:val="009B4835"/>
    <w:rsid w:val="009B4B51"/>
    <w:rsid w:val="009B4DB1"/>
    <w:rsid w:val="009B539A"/>
    <w:rsid w:val="009B6D2A"/>
    <w:rsid w:val="009C0357"/>
    <w:rsid w:val="009C2DAD"/>
    <w:rsid w:val="009C4499"/>
    <w:rsid w:val="009D00FE"/>
    <w:rsid w:val="009D1458"/>
    <w:rsid w:val="009D1E9A"/>
    <w:rsid w:val="009D2269"/>
    <w:rsid w:val="009D299E"/>
    <w:rsid w:val="009D3309"/>
    <w:rsid w:val="009D3350"/>
    <w:rsid w:val="009D35FE"/>
    <w:rsid w:val="009D6FB2"/>
    <w:rsid w:val="009E156C"/>
    <w:rsid w:val="009E1BC6"/>
    <w:rsid w:val="009E207A"/>
    <w:rsid w:val="009E3430"/>
    <w:rsid w:val="009E3888"/>
    <w:rsid w:val="009E3D43"/>
    <w:rsid w:val="009E4D67"/>
    <w:rsid w:val="009E50F2"/>
    <w:rsid w:val="009E6D1C"/>
    <w:rsid w:val="009E6F08"/>
    <w:rsid w:val="009E7513"/>
    <w:rsid w:val="009F05DC"/>
    <w:rsid w:val="009F29FE"/>
    <w:rsid w:val="009F2D74"/>
    <w:rsid w:val="009F33F2"/>
    <w:rsid w:val="009F43C7"/>
    <w:rsid w:val="009F46CE"/>
    <w:rsid w:val="009F78D9"/>
    <w:rsid w:val="00A00CB5"/>
    <w:rsid w:val="00A0207A"/>
    <w:rsid w:val="00A0233A"/>
    <w:rsid w:val="00A05CC3"/>
    <w:rsid w:val="00A0666F"/>
    <w:rsid w:val="00A07888"/>
    <w:rsid w:val="00A11911"/>
    <w:rsid w:val="00A12AD7"/>
    <w:rsid w:val="00A12B67"/>
    <w:rsid w:val="00A12C38"/>
    <w:rsid w:val="00A14A83"/>
    <w:rsid w:val="00A16B5E"/>
    <w:rsid w:val="00A16DB9"/>
    <w:rsid w:val="00A17A22"/>
    <w:rsid w:val="00A20AF5"/>
    <w:rsid w:val="00A21E00"/>
    <w:rsid w:val="00A26D22"/>
    <w:rsid w:val="00A27931"/>
    <w:rsid w:val="00A30918"/>
    <w:rsid w:val="00A31038"/>
    <w:rsid w:val="00A3169D"/>
    <w:rsid w:val="00A3183C"/>
    <w:rsid w:val="00A33452"/>
    <w:rsid w:val="00A35069"/>
    <w:rsid w:val="00A356BE"/>
    <w:rsid w:val="00A35F07"/>
    <w:rsid w:val="00A36DC4"/>
    <w:rsid w:val="00A37CC9"/>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EBC"/>
    <w:rsid w:val="00A60BCD"/>
    <w:rsid w:val="00A61B9B"/>
    <w:rsid w:val="00A62970"/>
    <w:rsid w:val="00A62C30"/>
    <w:rsid w:val="00A64755"/>
    <w:rsid w:val="00A70C2D"/>
    <w:rsid w:val="00A7215D"/>
    <w:rsid w:val="00A74041"/>
    <w:rsid w:val="00A80104"/>
    <w:rsid w:val="00A81F2A"/>
    <w:rsid w:val="00A853F6"/>
    <w:rsid w:val="00A85F4E"/>
    <w:rsid w:val="00A86BC1"/>
    <w:rsid w:val="00A871F0"/>
    <w:rsid w:val="00A8748D"/>
    <w:rsid w:val="00A87884"/>
    <w:rsid w:val="00A87928"/>
    <w:rsid w:val="00A87C1B"/>
    <w:rsid w:val="00A93FA1"/>
    <w:rsid w:val="00A94670"/>
    <w:rsid w:val="00A950D6"/>
    <w:rsid w:val="00AA04D7"/>
    <w:rsid w:val="00AA0F00"/>
    <w:rsid w:val="00AA107A"/>
    <w:rsid w:val="00AA1909"/>
    <w:rsid w:val="00AA1BF2"/>
    <w:rsid w:val="00AA2E40"/>
    <w:rsid w:val="00AA6353"/>
    <w:rsid w:val="00AB1A68"/>
    <w:rsid w:val="00AB3EA5"/>
    <w:rsid w:val="00AB7A60"/>
    <w:rsid w:val="00AC152E"/>
    <w:rsid w:val="00AC1B1C"/>
    <w:rsid w:val="00AC270A"/>
    <w:rsid w:val="00AC3F8C"/>
    <w:rsid w:val="00AC47A3"/>
    <w:rsid w:val="00AC5607"/>
    <w:rsid w:val="00AD2627"/>
    <w:rsid w:val="00AD2AFB"/>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4E9"/>
    <w:rsid w:val="00AF5D3F"/>
    <w:rsid w:val="00AF65D9"/>
    <w:rsid w:val="00AF6D27"/>
    <w:rsid w:val="00AF7B46"/>
    <w:rsid w:val="00B0309F"/>
    <w:rsid w:val="00B0452F"/>
    <w:rsid w:val="00B06525"/>
    <w:rsid w:val="00B06F02"/>
    <w:rsid w:val="00B06F7D"/>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40B"/>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10AD"/>
    <w:rsid w:val="00B7272B"/>
    <w:rsid w:val="00B731F7"/>
    <w:rsid w:val="00B73A10"/>
    <w:rsid w:val="00B748A9"/>
    <w:rsid w:val="00B75BF5"/>
    <w:rsid w:val="00B76738"/>
    <w:rsid w:val="00B80200"/>
    <w:rsid w:val="00B8178C"/>
    <w:rsid w:val="00B847A2"/>
    <w:rsid w:val="00B85245"/>
    <w:rsid w:val="00B8552B"/>
    <w:rsid w:val="00B85C88"/>
    <w:rsid w:val="00B90470"/>
    <w:rsid w:val="00B93F80"/>
    <w:rsid w:val="00B95620"/>
    <w:rsid w:val="00B96B66"/>
    <w:rsid w:val="00BA09D2"/>
    <w:rsid w:val="00BA19B7"/>
    <w:rsid w:val="00BA2E57"/>
    <w:rsid w:val="00BA32E3"/>
    <w:rsid w:val="00BA410B"/>
    <w:rsid w:val="00BA4423"/>
    <w:rsid w:val="00BA4FE3"/>
    <w:rsid w:val="00BA7317"/>
    <w:rsid w:val="00BB0581"/>
    <w:rsid w:val="00BB0A15"/>
    <w:rsid w:val="00BB200D"/>
    <w:rsid w:val="00BB254C"/>
    <w:rsid w:val="00BB32F6"/>
    <w:rsid w:val="00BB3ACD"/>
    <w:rsid w:val="00BB568D"/>
    <w:rsid w:val="00BB5A16"/>
    <w:rsid w:val="00BB5D00"/>
    <w:rsid w:val="00BB6136"/>
    <w:rsid w:val="00BD02F2"/>
    <w:rsid w:val="00BD0FD4"/>
    <w:rsid w:val="00BD1796"/>
    <w:rsid w:val="00BD20AA"/>
    <w:rsid w:val="00BD5AB2"/>
    <w:rsid w:val="00BD5C98"/>
    <w:rsid w:val="00BD726C"/>
    <w:rsid w:val="00BD7918"/>
    <w:rsid w:val="00BE0CFD"/>
    <w:rsid w:val="00BE12C0"/>
    <w:rsid w:val="00BE183E"/>
    <w:rsid w:val="00BE1A2C"/>
    <w:rsid w:val="00BE2805"/>
    <w:rsid w:val="00BE70A8"/>
    <w:rsid w:val="00BE7557"/>
    <w:rsid w:val="00BE7DAF"/>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4C3"/>
    <w:rsid w:val="00C46F13"/>
    <w:rsid w:val="00C47F23"/>
    <w:rsid w:val="00C517BF"/>
    <w:rsid w:val="00C542B3"/>
    <w:rsid w:val="00C55730"/>
    <w:rsid w:val="00C56624"/>
    <w:rsid w:val="00C570EA"/>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29D"/>
    <w:rsid w:val="00C823DD"/>
    <w:rsid w:val="00C8539E"/>
    <w:rsid w:val="00C86756"/>
    <w:rsid w:val="00C87D06"/>
    <w:rsid w:val="00C90D05"/>
    <w:rsid w:val="00C91DDA"/>
    <w:rsid w:val="00C93206"/>
    <w:rsid w:val="00C93BC0"/>
    <w:rsid w:val="00C94803"/>
    <w:rsid w:val="00C94FE6"/>
    <w:rsid w:val="00C95643"/>
    <w:rsid w:val="00C9586F"/>
    <w:rsid w:val="00C95BAA"/>
    <w:rsid w:val="00CA1D65"/>
    <w:rsid w:val="00CA2A52"/>
    <w:rsid w:val="00CA4198"/>
    <w:rsid w:val="00CA4E5B"/>
    <w:rsid w:val="00CA5028"/>
    <w:rsid w:val="00CA5213"/>
    <w:rsid w:val="00CA76F9"/>
    <w:rsid w:val="00CB1256"/>
    <w:rsid w:val="00CB15C8"/>
    <w:rsid w:val="00CB2506"/>
    <w:rsid w:val="00CB33A2"/>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4BF7"/>
    <w:rsid w:val="00CD77C8"/>
    <w:rsid w:val="00CE000E"/>
    <w:rsid w:val="00CE2A51"/>
    <w:rsid w:val="00CE2EE6"/>
    <w:rsid w:val="00CE3891"/>
    <w:rsid w:val="00CE4E22"/>
    <w:rsid w:val="00CF0FA9"/>
    <w:rsid w:val="00CF19E2"/>
    <w:rsid w:val="00CF328C"/>
    <w:rsid w:val="00CF36BD"/>
    <w:rsid w:val="00CF455C"/>
    <w:rsid w:val="00CF551F"/>
    <w:rsid w:val="00CF5775"/>
    <w:rsid w:val="00CF58F3"/>
    <w:rsid w:val="00CF5EBD"/>
    <w:rsid w:val="00CF6CE7"/>
    <w:rsid w:val="00CF6DEB"/>
    <w:rsid w:val="00CF71B7"/>
    <w:rsid w:val="00D006CD"/>
    <w:rsid w:val="00D01305"/>
    <w:rsid w:val="00D02754"/>
    <w:rsid w:val="00D11679"/>
    <w:rsid w:val="00D11CAE"/>
    <w:rsid w:val="00D1209D"/>
    <w:rsid w:val="00D13152"/>
    <w:rsid w:val="00D162DF"/>
    <w:rsid w:val="00D16F8F"/>
    <w:rsid w:val="00D171B9"/>
    <w:rsid w:val="00D17277"/>
    <w:rsid w:val="00D20120"/>
    <w:rsid w:val="00D20FC3"/>
    <w:rsid w:val="00D21461"/>
    <w:rsid w:val="00D217D9"/>
    <w:rsid w:val="00D2302C"/>
    <w:rsid w:val="00D234E6"/>
    <w:rsid w:val="00D25BF5"/>
    <w:rsid w:val="00D26D35"/>
    <w:rsid w:val="00D26F4A"/>
    <w:rsid w:val="00D277E1"/>
    <w:rsid w:val="00D30B9B"/>
    <w:rsid w:val="00D3100C"/>
    <w:rsid w:val="00D328A6"/>
    <w:rsid w:val="00D355FE"/>
    <w:rsid w:val="00D4120C"/>
    <w:rsid w:val="00D434AC"/>
    <w:rsid w:val="00D4477E"/>
    <w:rsid w:val="00D45025"/>
    <w:rsid w:val="00D50F36"/>
    <w:rsid w:val="00D52B2B"/>
    <w:rsid w:val="00D55D77"/>
    <w:rsid w:val="00D560F0"/>
    <w:rsid w:val="00D560F6"/>
    <w:rsid w:val="00D56402"/>
    <w:rsid w:val="00D57A7B"/>
    <w:rsid w:val="00D6114E"/>
    <w:rsid w:val="00D61215"/>
    <w:rsid w:val="00D621E7"/>
    <w:rsid w:val="00D62C30"/>
    <w:rsid w:val="00D669CE"/>
    <w:rsid w:val="00D70B94"/>
    <w:rsid w:val="00D77478"/>
    <w:rsid w:val="00D80847"/>
    <w:rsid w:val="00D82605"/>
    <w:rsid w:val="00D82CAB"/>
    <w:rsid w:val="00D83251"/>
    <w:rsid w:val="00D83B54"/>
    <w:rsid w:val="00D83C0C"/>
    <w:rsid w:val="00D90751"/>
    <w:rsid w:val="00D91574"/>
    <w:rsid w:val="00D94510"/>
    <w:rsid w:val="00D94713"/>
    <w:rsid w:val="00D96394"/>
    <w:rsid w:val="00DA0149"/>
    <w:rsid w:val="00DA144F"/>
    <w:rsid w:val="00DA2617"/>
    <w:rsid w:val="00DA2FD8"/>
    <w:rsid w:val="00DA3D41"/>
    <w:rsid w:val="00DA4873"/>
    <w:rsid w:val="00DA5721"/>
    <w:rsid w:val="00DA6EE2"/>
    <w:rsid w:val="00DA754D"/>
    <w:rsid w:val="00DB1576"/>
    <w:rsid w:val="00DB38AB"/>
    <w:rsid w:val="00DB4EC2"/>
    <w:rsid w:val="00DB571F"/>
    <w:rsid w:val="00DB5C09"/>
    <w:rsid w:val="00DB5EF5"/>
    <w:rsid w:val="00DB6E4B"/>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E134A"/>
    <w:rsid w:val="00DE39CF"/>
    <w:rsid w:val="00DE499B"/>
    <w:rsid w:val="00DE4A89"/>
    <w:rsid w:val="00DE56AE"/>
    <w:rsid w:val="00DF1183"/>
    <w:rsid w:val="00DF15A2"/>
    <w:rsid w:val="00DF21AD"/>
    <w:rsid w:val="00DF55CE"/>
    <w:rsid w:val="00E00ABD"/>
    <w:rsid w:val="00E01E48"/>
    <w:rsid w:val="00E024C8"/>
    <w:rsid w:val="00E02CA4"/>
    <w:rsid w:val="00E02E80"/>
    <w:rsid w:val="00E03E46"/>
    <w:rsid w:val="00E0486D"/>
    <w:rsid w:val="00E04DFE"/>
    <w:rsid w:val="00E0587B"/>
    <w:rsid w:val="00E0670C"/>
    <w:rsid w:val="00E079DC"/>
    <w:rsid w:val="00E13366"/>
    <w:rsid w:val="00E1382C"/>
    <w:rsid w:val="00E14AF0"/>
    <w:rsid w:val="00E150F9"/>
    <w:rsid w:val="00E1796A"/>
    <w:rsid w:val="00E21204"/>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3186"/>
    <w:rsid w:val="00E44402"/>
    <w:rsid w:val="00E473E7"/>
    <w:rsid w:val="00E47B4A"/>
    <w:rsid w:val="00E50307"/>
    <w:rsid w:val="00E50A15"/>
    <w:rsid w:val="00E5378B"/>
    <w:rsid w:val="00E5400F"/>
    <w:rsid w:val="00E540B5"/>
    <w:rsid w:val="00E5447C"/>
    <w:rsid w:val="00E545AE"/>
    <w:rsid w:val="00E5513E"/>
    <w:rsid w:val="00E55989"/>
    <w:rsid w:val="00E57EB6"/>
    <w:rsid w:val="00E60D78"/>
    <w:rsid w:val="00E613DB"/>
    <w:rsid w:val="00E62022"/>
    <w:rsid w:val="00E63F2B"/>
    <w:rsid w:val="00E65834"/>
    <w:rsid w:val="00E70872"/>
    <w:rsid w:val="00E708C5"/>
    <w:rsid w:val="00E7090E"/>
    <w:rsid w:val="00E72153"/>
    <w:rsid w:val="00E72343"/>
    <w:rsid w:val="00E7236F"/>
    <w:rsid w:val="00E73E75"/>
    <w:rsid w:val="00E746AA"/>
    <w:rsid w:val="00E75877"/>
    <w:rsid w:val="00E76634"/>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EEF"/>
    <w:rsid w:val="00EA30B0"/>
    <w:rsid w:val="00EA30D8"/>
    <w:rsid w:val="00EA4B90"/>
    <w:rsid w:val="00EA4C3E"/>
    <w:rsid w:val="00EA58F5"/>
    <w:rsid w:val="00EA5EAA"/>
    <w:rsid w:val="00EA6F0C"/>
    <w:rsid w:val="00EA77AF"/>
    <w:rsid w:val="00EA7C4F"/>
    <w:rsid w:val="00EB022F"/>
    <w:rsid w:val="00EB0B68"/>
    <w:rsid w:val="00EB14A3"/>
    <w:rsid w:val="00EB17BC"/>
    <w:rsid w:val="00EB246E"/>
    <w:rsid w:val="00EB26CB"/>
    <w:rsid w:val="00EB32C1"/>
    <w:rsid w:val="00EB3B22"/>
    <w:rsid w:val="00EB6701"/>
    <w:rsid w:val="00EB6E2D"/>
    <w:rsid w:val="00EB6E32"/>
    <w:rsid w:val="00EB7DBC"/>
    <w:rsid w:val="00EB7EF1"/>
    <w:rsid w:val="00EC0DDA"/>
    <w:rsid w:val="00EC2D1F"/>
    <w:rsid w:val="00EC31B2"/>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E13"/>
    <w:rsid w:val="00EE6B4B"/>
    <w:rsid w:val="00EF015E"/>
    <w:rsid w:val="00EF0F24"/>
    <w:rsid w:val="00EF3B74"/>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65B4"/>
    <w:rsid w:val="00F231ED"/>
    <w:rsid w:val="00F27BD1"/>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AAB"/>
    <w:rsid w:val="00F44C1B"/>
    <w:rsid w:val="00F46340"/>
    <w:rsid w:val="00F521B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5E99"/>
    <w:rsid w:val="00F75F72"/>
    <w:rsid w:val="00F7672B"/>
    <w:rsid w:val="00F775D2"/>
    <w:rsid w:val="00F82477"/>
    <w:rsid w:val="00F83065"/>
    <w:rsid w:val="00F83B82"/>
    <w:rsid w:val="00F85C3A"/>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3E83"/>
    <w:rsid w:val="00FC46EF"/>
    <w:rsid w:val="00FC5332"/>
    <w:rsid w:val="00FC6C2A"/>
    <w:rsid w:val="00FC7DE8"/>
    <w:rsid w:val="00FD0E52"/>
    <w:rsid w:val="00FD14C9"/>
    <w:rsid w:val="00FD480A"/>
    <w:rsid w:val="00FE09F8"/>
    <w:rsid w:val="00FE1542"/>
    <w:rsid w:val="00FE1A6A"/>
    <w:rsid w:val="00FE1B6A"/>
    <w:rsid w:val="00FE1D8C"/>
    <w:rsid w:val="00FE1DD2"/>
    <w:rsid w:val="00FE392E"/>
    <w:rsid w:val="00FE49DA"/>
    <w:rsid w:val="00FE5427"/>
    <w:rsid w:val="00FE6347"/>
    <w:rsid w:val="00FE769E"/>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5FAF-4130-4F3C-AA95-9F95F78D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2017-01-12T17:18:00Z</dcterms:created>
  <dcterms:modified xsi:type="dcterms:W3CDTF">2017-01-12T17:18:00Z</dcterms:modified>
</cp:coreProperties>
</file>