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1E9B" w14:textId="487E263C" w:rsidR="009321C5" w:rsidRPr="007F5572" w:rsidRDefault="009321C5" w:rsidP="009321C5">
      <w:pPr>
        <w:rPr>
          <w:b/>
          <w:bCs/>
          <w:sz w:val="32"/>
          <w:szCs w:val="32"/>
        </w:rPr>
      </w:pPr>
      <w:r w:rsidRPr="007F5572">
        <w:rPr>
          <w:b/>
          <w:bCs/>
          <w:sz w:val="32"/>
          <w:szCs w:val="32"/>
        </w:rPr>
        <w:t>UPDATE ON THE PROVOST TASK FORCE FOR THE IMPLEMENTATION OF BOR POLICY REVISIONS POST-TENURE AND ANNUAL REVIEW (8.3)</w:t>
      </w:r>
    </w:p>
    <w:p w14:paraId="2A8D953A" w14:textId="350D22BD" w:rsidR="00D66380" w:rsidRPr="009321C5" w:rsidRDefault="00D66380" w:rsidP="00D66380">
      <w:pPr>
        <w:pStyle w:val="Heading1"/>
      </w:pPr>
      <w:r>
        <w:t>BOR Revisions</w:t>
      </w:r>
    </w:p>
    <w:p w14:paraId="7C01B6EE" w14:textId="05523FFA" w:rsidR="0013004D" w:rsidRDefault="00001D9A" w:rsidP="00877833">
      <w:pPr>
        <w:spacing w:after="0"/>
      </w:pPr>
      <w:r w:rsidRPr="00001D9A">
        <w:t xml:space="preserve">The Board of Regents of the University System of Georgia (USG) met on October 12-13, 2021, on the </w:t>
      </w:r>
      <w:r w:rsidR="00DB2E31">
        <w:t>c</w:t>
      </w:r>
      <w:r w:rsidRPr="00001D9A">
        <w:t xml:space="preserve">ampus of the Georgia Institute of Technology. During this meeting, revisions were made to the </w:t>
      </w:r>
      <w:r w:rsidR="00DB2E31">
        <w:t>f</w:t>
      </w:r>
      <w:r w:rsidRPr="00001D9A">
        <w:t>ollowing Board of Regents (BOR) policies: Post-Tenure and Annual Review (8.3)</w:t>
      </w:r>
      <w:r w:rsidR="000938A5">
        <w:t xml:space="preserve">. </w:t>
      </w:r>
      <w:r w:rsidR="00877833">
        <w:t>(</w:t>
      </w:r>
      <w:proofErr w:type="gramStart"/>
      <w:r w:rsidR="00877833">
        <w:t>see</w:t>
      </w:r>
      <w:proofErr w:type="gramEnd"/>
      <w:r w:rsidR="00877833">
        <w:t xml:space="preserve"> </w:t>
      </w:r>
      <w:r w:rsidR="00877833" w:rsidRPr="00877833">
        <w:t>Chancellor's Policy Letter and Exhibit - October 12-13. 2021</w:t>
      </w:r>
      <w:r w:rsidR="00877833">
        <w:t xml:space="preserve"> below)</w:t>
      </w:r>
    </w:p>
    <w:p w14:paraId="281C6846" w14:textId="0EFF1261" w:rsidR="00877833" w:rsidRDefault="00E40812">
      <w:r>
        <w:rPr>
          <w:noProof/>
        </w:rPr>
        <w:object w:dxaOrig="1540" w:dyaOrig="996" w14:anchorId="362A9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5pt;height:32.1pt;mso-width-percent:0;mso-height-percent:0;mso-width-percent:0;mso-height-percent:0" o:ole="">
            <v:imagedata r:id="rId6" o:title=""/>
          </v:shape>
          <o:OLEObject Type="Embed" ProgID="Acrobat.Document.DC" ShapeID="_x0000_i1025" DrawAspect="Icon" ObjectID="_1704208186" r:id="rId7"/>
        </w:object>
      </w:r>
    </w:p>
    <w:p w14:paraId="0147BD4D" w14:textId="1829B10C" w:rsidR="00D66380" w:rsidRDefault="00D66380" w:rsidP="00D66380">
      <w:pPr>
        <w:pStyle w:val="Heading1"/>
      </w:pPr>
      <w:r>
        <w:t>Provost Task Force</w:t>
      </w:r>
    </w:p>
    <w:p w14:paraId="3C9168DF" w14:textId="3221721C" w:rsidR="00F16FC7" w:rsidRDefault="00877833">
      <w:r>
        <w:t xml:space="preserve">In December, </w:t>
      </w:r>
      <w:r w:rsidR="000938A5">
        <w:t xml:space="preserve">Provost Spirou </w:t>
      </w:r>
      <w:r>
        <w:t>convened</w:t>
      </w:r>
      <w:r w:rsidR="00021FA7">
        <w:t xml:space="preserve"> a task force for i</w:t>
      </w:r>
      <w:r w:rsidR="00021FA7" w:rsidRPr="00021FA7">
        <w:t xml:space="preserve">mplementing </w:t>
      </w:r>
      <w:r w:rsidR="00021FA7">
        <w:t>the</w:t>
      </w:r>
      <w:r w:rsidR="00021FA7" w:rsidRPr="00021FA7">
        <w:t xml:space="preserve"> BOR Policy Revisions Post-Tenure and Annual Review</w:t>
      </w:r>
      <w:r w:rsidR="00B062CA">
        <w:t xml:space="preserve"> </w:t>
      </w:r>
      <w:r w:rsidR="00B062CA" w:rsidRPr="002B4C57">
        <w:rPr>
          <w:color w:val="000000" w:themeColor="text1"/>
        </w:rPr>
        <w:t>into University policy</w:t>
      </w:r>
      <w:r w:rsidR="00021FA7" w:rsidRPr="002B4C57">
        <w:rPr>
          <w:color w:val="000000" w:themeColor="text1"/>
        </w:rPr>
        <w:t xml:space="preserve">. </w:t>
      </w:r>
      <w:r w:rsidR="00021FA7">
        <w:t>The co-chairs and members</w:t>
      </w:r>
      <w:r>
        <w:t xml:space="preserve">, </w:t>
      </w:r>
      <w:r w:rsidR="00604B8A">
        <w:t>three quarters of which are</w:t>
      </w:r>
      <w:r>
        <w:t xml:space="preserve"> </w:t>
      </w:r>
      <w:r w:rsidR="00604B8A">
        <w:t xml:space="preserve">elected faculty </w:t>
      </w:r>
      <w:r>
        <w:t xml:space="preserve">senators, </w:t>
      </w:r>
      <w:r w:rsidR="00021FA7">
        <w:t xml:space="preserve">are listed below. </w:t>
      </w:r>
    </w:p>
    <w:p w14:paraId="67D626D7" w14:textId="48DC5972" w:rsidR="00D66380" w:rsidRDefault="00D66380" w:rsidP="00D66380">
      <w:pPr>
        <w:pStyle w:val="Heading2"/>
      </w:pPr>
      <w:r>
        <w:t>Membership</w:t>
      </w:r>
    </w:p>
    <w:p w14:paraId="25F471F6" w14:textId="77777777" w:rsidR="00F16FC7" w:rsidRPr="00021FA7" w:rsidRDefault="00F16FC7" w:rsidP="00F16FC7">
      <w:pPr>
        <w:spacing w:after="0"/>
      </w:pPr>
      <w:r w:rsidRPr="00021FA7">
        <w:rPr>
          <w:b/>
          <w:bCs/>
          <w:u w:val="single"/>
        </w:rPr>
        <w:t>Co-Chairs:</w:t>
      </w:r>
      <w:r w:rsidRPr="00021FA7">
        <w:t> </w:t>
      </w:r>
    </w:p>
    <w:p w14:paraId="6FFB7EAF" w14:textId="67599C3F" w:rsidR="00F16FC7" w:rsidRPr="00021FA7" w:rsidRDefault="00F16FC7" w:rsidP="00F16FC7">
      <w:r w:rsidRPr="00021FA7">
        <w:t>Catherine Fowler (Presiding Officer + COHS) &amp; Holley Roberts (Office of Provost) </w:t>
      </w:r>
    </w:p>
    <w:p w14:paraId="1E37EA0D" w14:textId="77777777" w:rsidR="00F16FC7" w:rsidRPr="00021FA7" w:rsidRDefault="00F16FC7" w:rsidP="00F16FC7">
      <w:pPr>
        <w:spacing w:after="0"/>
      </w:pPr>
      <w:r w:rsidRPr="00021FA7">
        <w:rPr>
          <w:b/>
          <w:bCs/>
          <w:u w:val="single"/>
        </w:rPr>
        <w:t>Members</w:t>
      </w:r>
      <w:r w:rsidRPr="00021FA7">
        <w:t>: </w:t>
      </w:r>
    </w:p>
    <w:p w14:paraId="621AAC8B" w14:textId="77777777" w:rsidR="00F16FC7" w:rsidRPr="00021FA7" w:rsidRDefault="00F16FC7" w:rsidP="00F16FC7">
      <w:pPr>
        <w:spacing w:after="0"/>
      </w:pPr>
      <w:r w:rsidRPr="00021FA7">
        <w:t>Sabrina Hom (FAPC Chair + College of Arts and Sciences) </w:t>
      </w:r>
    </w:p>
    <w:p w14:paraId="345A36B3" w14:textId="77777777" w:rsidR="00F16FC7" w:rsidRPr="00021FA7" w:rsidRDefault="00F16FC7" w:rsidP="00F16FC7">
      <w:pPr>
        <w:spacing w:after="0"/>
      </w:pPr>
      <w:r w:rsidRPr="00021FA7">
        <w:t>Linda Bradley (DEIPC Chair + College of Education) </w:t>
      </w:r>
    </w:p>
    <w:p w14:paraId="03F14194" w14:textId="77777777" w:rsidR="00F16FC7" w:rsidRPr="00021FA7" w:rsidRDefault="00F16FC7" w:rsidP="00F16FC7">
      <w:pPr>
        <w:spacing w:after="0"/>
      </w:pPr>
      <w:r w:rsidRPr="00021FA7">
        <w:t>Robert Blumenthal (Council of Chairs + College of Arts and Sciences) </w:t>
      </w:r>
    </w:p>
    <w:p w14:paraId="596D885B" w14:textId="62AC5286" w:rsidR="00F16FC7" w:rsidRPr="00021FA7" w:rsidRDefault="00F16FC7" w:rsidP="00F16FC7">
      <w:pPr>
        <w:spacing w:after="0"/>
      </w:pPr>
      <w:r w:rsidRPr="00021FA7">
        <w:t xml:space="preserve">Nicholas Creel (APC Chair </w:t>
      </w:r>
      <w:r w:rsidR="00877833" w:rsidRPr="00021FA7">
        <w:t xml:space="preserve">+ </w:t>
      </w:r>
      <w:r w:rsidRPr="00021FA7">
        <w:t>College of Business) </w:t>
      </w:r>
    </w:p>
    <w:p w14:paraId="5A14F0BC" w14:textId="77777777" w:rsidR="00F16FC7" w:rsidRPr="00021FA7" w:rsidRDefault="00F16FC7" w:rsidP="00F16FC7">
      <w:pPr>
        <w:spacing w:after="0"/>
      </w:pPr>
      <w:r w:rsidRPr="00021FA7">
        <w:t>Paulette Cross (University Senate + College of Education) </w:t>
      </w:r>
    </w:p>
    <w:p w14:paraId="706448CA" w14:textId="77777777" w:rsidR="00F16FC7" w:rsidRPr="00021FA7" w:rsidRDefault="00F16FC7" w:rsidP="00F16FC7">
      <w:pPr>
        <w:spacing w:after="0"/>
      </w:pPr>
      <w:r w:rsidRPr="00021FA7">
        <w:t>Karl Manrodt (University Senate + College of Business) </w:t>
      </w:r>
    </w:p>
    <w:p w14:paraId="52496E2F" w14:textId="77777777" w:rsidR="00F16FC7" w:rsidRPr="00021FA7" w:rsidRDefault="00F16FC7" w:rsidP="00F16FC7">
      <w:pPr>
        <w:spacing w:after="0"/>
      </w:pPr>
      <w:r w:rsidRPr="00021FA7">
        <w:t>Sarah Myers (College of Health Sciences) </w:t>
      </w:r>
    </w:p>
    <w:p w14:paraId="6614E434" w14:textId="77777777" w:rsidR="00F16FC7" w:rsidRPr="00021FA7" w:rsidRDefault="00F16FC7" w:rsidP="00F16FC7">
      <w:pPr>
        <w:spacing w:after="0"/>
      </w:pPr>
      <w:r w:rsidRPr="00021FA7">
        <w:t>Jennifer Flory (Presiding Officer Elect + College of Arts and Sciences) </w:t>
      </w:r>
    </w:p>
    <w:p w14:paraId="4A8384A5" w14:textId="77777777" w:rsidR="00F16FC7" w:rsidRPr="00021FA7" w:rsidRDefault="00F16FC7" w:rsidP="00F16FC7">
      <w:pPr>
        <w:spacing w:after="0"/>
      </w:pPr>
      <w:r w:rsidRPr="00021FA7">
        <w:t>Lamonica Sanford (University Senate + University Library) </w:t>
      </w:r>
    </w:p>
    <w:p w14:paraId="593D7669" w14:textId="30C1F7A2" w:rsidR="00F16FC7" w:rsidRDefault="00F16FC7" w:rsidP="00F16FC7">
      <w:r w:rsidRPr="00021FA7">
        <w:t>Micheal Stratton (Council of Deans</w:t>
      </w:r>
      <w:r w:rsidR="00877833">
        <w:t xml:space="preserve"> </w:t>
      </w:r>
      <w:r w:rsidR="00877833" w:rsidRPr="00021FA7">
        <w:t>+ College of Business</w:t>
      </w:r>
      <w:r w:rsidRPr="00021FA7">
        <w:t>) </w:t>
      </w:r>
    </w:p>
    <w:p w14:paraId="315515B5" w14:textId="51D6A289" w:rsidR="00D66380" w:rsidRDefault="00D66380" w:rsidP="00D66380">
      <w:pPr>
        <w:pStyle w:val="Heading2"/>
      </w:pPr>
      <w:r>
        <w:t>Charge</w:t>
      </w:r>
    </w:p>
    <w:p w14:paraId="5F5DA65B" w14:textId="48604C1F" w:rsidR="00021FA7" w:rsidRDefault="001D4E9D">
      <w:r>
        <w:t xml:space="preserve">The </w:t>
      </w:r>
      <w:r w:rsidRPr="001D4E9D">
        <w:t>Provost Task Force</w:t>
      </w:r>
      <w:r w:rsidR="00021FA7">
        <w:t xml:space="preserve"> was charged with revising relevant institutional policies which pertain to the </w:t>
      </w:r>
      <w:r w:rsidR="00604B8A">
        <w:t xml:space="preserve">revised BOR </w:t>
      </w:r>
      <w:r w:rsidR="00604B8A" w:rsidRPr="00604B8A">
        <w:t>policies</w:t>
      </w:r>
      <w:r w:rsidR="009321C5">
        <w:t xml:space="preserve"> as listed below</w:t>
      </w:r>
      <w:r>
        <w:t>.</w:t>
      </w:r>
    </w:p>
    <w:p w14:paraId="58985E15" w14:textId="605DA819" w:rsidR="00604B8A" w:rsidRPr="00B30D72" w:rsidRDefault="00604B8A" w:rsidP="001D4E9D">
      <w:r w:rsidRPr="00B30D72">
        <w:rPr>
          <w:b/>
          <w:bCs/>
        </w:rPr>
        <w:t>Implementation of BOR Policy Revisions Post-Tenure and Annual Review (8.3)</w:t>
      </w:r>
    </w:p>
    <w:p w14:paraId="027F13DA" w14:textId="2679E3F0" w:rsidR="00604B8A" w:rsidRPr="00B30D72" w:rsidRDefault="00604B8A" w:rsidP="001D4E9D">
      <w:pPr>
        <w:numPr>
          <w:ilvl w:val="0"/>
          <w:numId w:val="1"/>
        </w:numPr>
      </w:pPr>
      <w:r w:rsidRPr="00B30D72">
        <w:t>Tenured administrators will once again be subject to post-tenure review. </w:t>
      </w:r>
    </w:p>
    <w:p w14:paraId="60293C3A" w14:textId="09117DEF" w:rsidR="00604B8A" w:rsidRPr="00B30D72" w:rsidRDefault="00604B8A" w:rsidP="001D4E9D">
      <w:pPr>
        <w:numPr>
          <w:ilvl w:val="0"/>
          <w:numId w:val="2"/>
        </w:numPr>
        <w:spacing w:after="0"/>
      </w:pPr>
      <w:r w:rsidRPr="00B30D72">
        <w:t>These system-level standards introduce a new element of </w:t>
      </w:r>
      <w:r w:rsidRPr="00B30D72">
        <w:rPr>
          <w:b/>
          <w:bCs/>
          <w:i/>
          <w:iCs/>
        </w:rPr>
        <w:t>student success</w:t>
      </w:r>
      <w:r w:rsidRPr="00B30D72">
        <w:t> in addition to the existing expectations for teaching, research</w:t>
      </w:r>
      <w:r w:rsidR="00630FA7">
        <w:t>,</w:t>
      </w:r>
      <w:r w:rsidRPr="00B30D72">
        <w:t xml:space="preserve"> and service at all levels of faculty assessment. </w:t>
      </w:r>
    </w:p>
    <w:p w14:paraId="28F87975" w14:textId="77777777" w:rsidR="00604B8A" w:rsidRPr="00B30D72" w:rsidRDefault="00604B8A" w:rsidP="00604B8A">
      <w:pPr>
        <w:numPr>
          <w:ilvl w:val="0"/>
          <w:numId w:val="3"/>
        </w:numPr>
        <w:spacing w:after="0"/>
      </w:pPr>
      <w:r w:rsidRPr="00B30D72">
        <w:t>Annual Evaluations </w:t>
      </w:r>
    </w:p>
    <w:p w14:paraId="5F5835B3" w14:textId="77777777" w:rsidR="00604B8A" w:rsidRPr="00B30D72" w:rsidRDefault="00604B8A" w:rsidP="00604B8A">
      <w:pPr>
        <w:numPr>
          <w:ilvl w:val="0"/>
          <w:numId w:val="3"/>
        </w:numPr>
        <w:spacing w:after="0"/>
      </w:pPr>
      <w:r w:rsidRPr="00B30D72">
        <w:t>Pre-Tenure </w:t>
      </w:r>
    </w:p>
    <w:p w14:paraId="5610F6B5" w14:textId="77777777" w:rsidR="00604B8A" w:rsidRPr="00B30D72" w:rsidRDefault="00604B8A" w:rsidP="00604B8A">
      <w:pPr>
        <w:numPr>
          <w:ilvl w:val="0"/>
          <w:numId w:val="3"/>
        </w:numPr>
        <w:spacing w:after="0"/>
      </w:pPr>
      <w:r w:rsidRPr="00B30D72">
        <w:t>Tenure </w:t>
      </w:r>
    </w:p>
    <w:p w14:paraId="0BD30548" w14:textId="320AF67B" w:rsidR="00604B8A" w:rsidRPr="00B30D72" w:rsidRDefault="00604B8A" w:rsidP="001D4E9D">
      <w:pPr>
        <w:numPr>
          <w:ilvl w:val="0"/>
          <w:numId w:val="3"/>
        </w:numPr>
      </w:pPr>
      <w:r w:rsidRPr="00B30D72">
        <w:lastRenderedPageBreak/>
        <w:t>Post Tenure </w:t>
      </w:r>
    </w:p>
    <w:p w14:paraId="564E835D" w14:textId="77777777" w:rsidR="009321C5" w:rsidRDefault="00604B8A" w:rsidP="009321C5">
      <w:pPr>
        <w:numPr>
          <w:ilvl w:val="0"/>
          <w:numId w:val="4"/>
        </w:numPr>
      </w:pPr>
      <w:r w:rsidRPr="00B30D72">
        <w:t>Each tenured faculty member will continue to participate in a PTR at least every five years. Post-tenure review will continue be a process led by a committee of faculty colleagues, with built in due-process mechanisms throughout. Each campus will be responsible for developing their policies and procedures to enact PTR after approval through the institution’s faculty governance processes and procedures. </w:t>
      </w:r>
    </w:p>
    <w:p w14:paraId="63BE0A7C" w14:textId="20A0DD17" w:rsidR="00604B8A" w:rsidRPr="00B30D72" w:rsidRDefault="00604B8A" w:rsidP="009321C5">
      <w:pPr>
        <w:ind w:left="720"/>
      </w:pPr>
      <w:r w:rsidRPr="00B30D72">
        <w:t>A faculty member must go through a </w:t>
      </w:r>
      <w:r w:rsidRPr="009321C5">
        <w:rPr>
          <w:b/>
          <w:bCs/>
          <w:i/>
          <w:iCs/>
        </w:rPr>
        <w:t>Corrective PTR</w:t>
      </w:r>
      <w:r w:rsidRPr="00B30D72">
        <w:t> if they are evaluated as performing unsatisfactorily in any area for two consecutive annual reviews. An unfavorable PTR or Corrective PTR will result in a </w:t>
      </w:r>
      <w:r w:rsidRPr="009321C5">
        <w:rPr>
          <w:b/>
          <w:bCs/>
          <w:i/>
          <w:iCs/>
        </w:rPr>
        <w:t>Performance Improvement Plan</w:t>
      </w:r>
      <w:r w:rsidRPr="00B30D72">
        <w:t> developed with the faculty member for the purpose of returning the faculty member’s performance to an appropriate level. If that is not successful, remedial action will be implemented. </w:t>
      </w:r>
    </w:p>
    <w:p w14:paraId="26639930" w14:textId="184A32F6" w:rsidR="00604B8A" w:rsidRPr="00B30D72" w:rsidRDefault="00604B8A" w:rsidP="009321C5">
      <w:pPr>
        <w:numPr>
          <w:ilvl w:val="0"/>
          <w:numId w:val="5"/>
        </w:numPr>
      </w:pPr>
      <w:r w:rsidRPr="00B30D72">
        <w:t>Each campus will be asked to create an implementation plan that explains how they intend to phase in the new review criteria that include student success. </w:t>
      </w:r>
    </w:p>
    <w:p w14:paraId="7F4DE441" w14:textId="77777777" w:rsidR="009321C5" w:rsidRDefault="00604B8A" w:rsidP="009321C5">
      <w:pPr>
        <w:ind w:left="720"/>
      </w:pPr>
      <w:r w:rsidRPr="00B30D72">
        <w:t>If you are currently in your tenure probationary period</w:t>
      </w:r>
      <w:r w:rsidR="009321C5">
        <w:t xml:space="preserve"> </w:t>
      </w:r>
      <w:r w:rsidRPr="00B30D72">
        <w:t>or have recently received tenure</w:t>
      </w:r>
      <w:r w:rsidR="009321C5">
        <w:t>,</w:t>
      </w:r>
      <w:r w:rsidRPr="00B30D72">
        <w:t xml:space="preserve"> then your campus will make clear whether your eventual application for tenure or promotion will be considered under the existing standards or using those that will developed this year. </w:t>
      </w:r>
    </w:p>
    <w:p w14:paraId="4933C9E0" w14:textId="18DF14FD" w:rsidR="00604B8A" w:rsidRPr="00B30D72" w:rsidRDefault="00604B8A" w:rsidP="009321C5">
      <w:pPr>
        <w:ind w:left="720"/>
      </w:pPr>
      <w:r w:rsidRPr="00B30D72">
        <w:t>Once developed, department chairs and program leaders will use the newly developed criteria for annual reviews beginning in the 2022-23 academic year.</w:t>
      </w:r>
    </w:p>
    <w:p w14:paraId="09D38BD0" w14:textId="34D0DB6A" w:rsidR="00604B8A" w:rsidRPr="00B30D72" w:rsidRDefault="00604B8A" w:rsidP="009321C5">
      <w:pPr>
        <w:ind w:firstLine="720"/>
      </w:pPr>
      <w:r w:rsidRPr="00B30D72">
        <w:t>Source: </w:t>
      </w:r>
      <w:hyperlink r:id="rId8" w:tgtFrame="_blank" w:history="1">
        <w:r w:rsidRPr="00B30D72">
          <w:rPr>
            <w:rStyle w:val="Hyperlink"/>
          </w:rPr>
          <w:t>https://www.usg.edu/post-tenure-review/frequently-asked-questions</w:t>
        </w:r>
      </w:hyperlink>
    </w:p>
    <w:p w14:paraId="49A0A421" w14:textId="0B2D959A" w:rsidR="00604B8A" w:rsidRDefault="00604B8A" w:rsidP="009321C5">
      <w:pPr>
        <w:pStyle w:val="ListParagraph"/>
        <w:numPr>
          <w:ilvl w:val="0"/>
          <w:numId w:val="5"/>
        </w:numPr>
      </w:pPr>
      <w:r w:rsidRPr="00B30D72">
        <w:t xml:space="preserve">Submission </w:t>
      </w:r>
      <w:r w:rsidR="00A4023C">
        <w:t xml:space="preserve">to Provost Spirou </w:t>
      </w:r>
      <w:r w:rsidRPr="00B30D72">
        <w:t>by February 1, 2022</w:t>
      </w:r>
    </w:p>
    <w:p w14:paraId="50AA510A" w14:textId="57046DA3" w:rsidR="00D66380" w:rsidRDefault="00630FA7" w:rsidP="00411083">
      <w:pPr>
        <w:pStyle w:val="Heading2"/>
      </w:pPr>
      <w:r>
        <w:t>Chart of Revised Policies and Policies under Review</w:t>
      </w:r>
      <w:r w:rsidR="00A4023C">
        <w:t xml:space="preserve"> with Links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675"/>
        <w:gridCol w:w="4500"/>
      </w:tblGrid>
      <w:tr w:rsidR="002B7142" w14:paraId="46D27AED" w14:textId="77777777" w:rsidTr="0082157D">
        <w:tc>
          <w:tcPr>
            <w:tcW w:w="4675" w:type="dxa"/>
          </w:tcPr>
          <w:p w14:paraId="23E61021" w14:textId="192DC841" w:rsidR="002B7142" w:rsidRPr="00E86E4F" w:rsidRDefault="00C72170">
            <w:pPr>
              <w:rPr>
                <w:b/>
                <w:bCs/>
              </w:rPr>
            </w:pPr>
            <w:hyperlink r:id="rId9" w:history="1">
              <w:r w:rsidR="002B7142" w:rsidRPr="0082157D">
                <w:rPr>
                  <w:rStyle w:val="Hyperlink"/>
                  <w:b/>
                  <w:bCs/>
                </w:rPr>
                <w:t xml:space="preserve">BOR Post-Tenure and Annual Review </w:t>
              </w:r>
              <w:r w:rsidR="00560D4A">
                <w:rPr>
                  <w:rStyle w:val="Hyperlink"/>
                  <w:b/>
                  <w:bCs/>
                </w:rPr>
                <w:t>Policies</w:t>
              </w:r>
              <w:r w:rsidR="0082157D" w:rsidRPr="0082157D">
                <w:rPr>
                  <w:rStyle w:val="Hyperlink"/>
                  <w:b/>
                  <w:bCs/>
                </w:rPr>
                <w:t xml:space="preserve"> with Links</w:t>
              </w:r>
            </w:hyperlink>
          </w:p>
        </w:tc>
        <w:tc>
          <w:tcPr>
            <w:tcW w:w="4500" w:type="dxa"/>
          </w:tcPr>
          <w:p w14:paraId="4C0585B9" w14:textId="28AA09FF" w:rsidR="002B7142" w:rsidRPr="00E86E4F" w:rsidRDefault="002B7142">
            <w:pPr>
              <w:rPr>
                <w:b/>
                <w:bCs/>
              </w:rPr>
            </w:pPr>
            <w:r w:rsidRPr="00E86E4F">
              <w:rPr>
                <w:b/>
                <w:bCs/>
              </w:rPr>
              <w:t>GC Policies</w:t>
            </w:r>
            <w:r>
              <w:rPr>
                <w:b/>
                <w:bCs/>
              </w:rPr>
              <w:t xml:space="preserve"> </w:t>
            </w:r>
            <w:r w:rsidR="00630FA7">
              <w:rPr>
                <w:b/>
                <w:bCs/>
              </w:rPr>
              <w:t xml:space="preserve">under Review and Revision </w:t>
            </w:r>
            <w:r>
              <w:rPr>
                <w:b/>
                <w:bCs/>
              </w:rPr>
              <w:t>with Links</w:t>
            </w:r>
          </w:p>
        </w:tc>
      </w:tr>
      <w:tr w:rsidR="002B7142" w14:paraId="13A1E915" w14:textId="77777777" w:rsidTr="0082157D">
        <w:tc>
          <w:tcPr>
            <w:tcW w:w="4675" w:type="dxa"/>
          </w:tcPr>
          <w:p w14:paraId="4A2E81C7" w14:textId="40FBCE6D" w:rsidR="002B7142" w:rsidRPr="00745767" w:rsidRDefault="00C72170">
            <w:pPr>
              <w:rPr>
                <w:i/>
                <w:iCs/>
              </w:rPr>
            </w:pPr>
            <w:hyperlink r:id="rId10" w:anchor="p8.3.5_evaluation_of_personnel" w:history="1">
              <w:r w:rsidR="002B7142" w:rsidRPr="002B7142">
                <w:rPr>
                  <w:rStyle w:val="Hyperlink"/>
                  <w:i/>
                  <w:iCs/>
                </w:rPr>
                <w:t>8.3.5 Evaluation of Personnel</w:t>
              </w:r>
            </w:hyperlink>
            <w:r w:rsidR="002B7142" w:rsidRPr="00745767">
              <w:rPr>
                <w:i/>
                <w:iCs/>
              </w:rPr>
              <w:t xml:space="preserve"> </w:t>
            </w:r>
          </w:p>
        </w:tc>
        <w:tc>
          <w:tcPr>
            <w:tcW w:w="4500" w:type="dxa"/>
          </w:tcPr>
          <w:p w14:paraId="75358EF9" w14:textId="77777777" w:rsidR="002B7142" w:rsidRPr="00E86E4F" w:rsidRDefault="002B7142"/>
        </w:tc>
      </w:tr>
      <w:tr w:rsidR="002B7142" w14:paraId="4554ADC3" w14:textId="77777777" w:rsidTr="0082157D">
        <w:tc>
          <w:tcPr>
            <w:tcW w:w="4675" w:type="dxa"/>
          </w:tcPr>
          <w:p w14:paraId="13C2A500" w14:textId="51282C36" w:rsidR="002B7142" w:rsidRDefault="002B7142">
            <w:r w:rsidRPr="00021FA7">
              <w:t>8.3.5.1 Faculty</w:t>
            </w:r>
          </w:p>
        </w:tc>
        <w:tc>
          <w:tcPr>
            <w:tcW w:w="4500" w:type="dxa"/>
          </w:tcPr>
          <w:p w14:paraId="4A60C3D4" w14:textId="6DAFF9C1" w:rsidR="0082157D" w:rsidRDefault="00C72170" w:rsidP="002B7142">
            <w:hyperlink r:id="rId11" w:history="1">
              <w:r w:rsidR="002B7142" w:rsidRPr="002D2C65">
                <w:rPr>
                  <w:rStyle w:val="Hyperlink"/>
                </w:rPr>
                <w:t>Pre-Tenure Review</w:t>
              </w:r>
            </w:hyperlink>
          </w:p>
          <w:p w14:paraId="68FECA6A" w14:textId="77777777" w:rsidR="0082157D" w:rsidRDefault="00C72170" w:rsidP="002B7142">
            <w:hyperlink r:id="rId12" w:history="1">
              <w:r w:rsidR="002B7142" w:rsidRPr="002D2C65">
                <w:rPr>
                  <w:rStyle w:val="Hyperlink"/>
                </w:rPr>
                <w:t>Teaching Effectiveness, Assessing</w:t>
              </w:r>
            </w:hyperlink>
          </w:p>
          <w:p w14:paraId="2D40AEBE" w14:textId="1AF61E5F" w:rsidR="002B7142" w:rsidRPr="00B30D72" w:rsidRDefault="00C72170" w:rsidP="002B7142">
            <w:pPr>
              <w:rPr>
                <w:rFonts w:ascii="Calibri" w:hAnsi="Calibri" w:cs="Calibri"/>
                <w:color w:val="000000"/>
              </w:rPr>
            </w:pPr>
            <w:hyperlink r:id="rId13" w:history="1">
              <w:r w:rsidR="002B7142" w:rsidRPr="002D2C65">
                <w:rPr>
                  <w:rStyle w:val="Hyperlink"/>
                  <w:rFonts w:ascii="Calibri" w:hAnsi="Calibri" w:cs="Calibri"/>
                </w:rPr>
                <w:t xml:space="preserve">Faculty Review System, Philosophy and General </w:t>
              </w:r>
              <w:r w:rsidR="0082157D">
                <w:rPr>
                  <w:rStyle w:val="Hyperlink"/>
                  <w:rFonts w:ascii="Calibri" w:hAnsi="Calibri" w:cs="Calibri"/>
                </w:rPr>
                <w:t xml:space="preserve">  </w:t>
              </w:r>
              <w:r w:rsidR="002B7142" w:rsidRPr="002D2C65">
                <w:rPr>
                  <w:rStyle w:val="Hyperlink"/>
                  <w:rFonts w:ascii="Calibri" w:hAnsi="Calibri" w:cs="Calibri"/>
                </w:rPr>
                <w:t>Procedures</w:t>
              </w:r>
            </w:hyperlink>
          </w:p>
        </w:tc>
      </w:tr>
      <w:tr w:rsidR="002B7142" w14:paraId="6C9A1F73" w14:textId="77777777" w:rsidTr="0082157D">
        <w:tc>
          <w:tcPr>
            <w:tcW w:w="4675" w:type="dxa"/>
          </w:tcPr>
          <w:p w14:paraId="5C9AEDDA" w14:textId="3C7E39C0" w:rsidR="002B7142" w:rsidRDefault="002B7142">
            <w:r w:rsidRPr="00021FA7">
              <w:t>8.3.5.4 Post Tenure Review</w:t>
            </w:r>
          </w:p>
        </w:tc>
        <w:tc>
          <w:tcPr>
            <w:tcW w:w="4500" w:type="dxa"/>
          </w:tcPr>
          <w:p w14:paraId="7A9DB6EE" w14:textId="77777777" w:rsidR="0082157D" w:rsidRDefault="00C72170">
            <w:hyperlink r:id="rId14" w:history="1">
              <w:r w:rsidR="002B7142" w:rsidRPr="00D571C0">
                <w:rPr>
                  <w:rStyle w:val="Hyperlink"/>
                </w:rPr>
                <w:t>Five Year Review of Academic Administrators</w:t>
              </w:r>
            </w:hyperlink>
          </w:p>
          <w:p w14:paraId="3EA3A022" w14:textId="4FC6043F" w:rsidR="002B7142" w:rsidRDefault="00C72170">
            <w:hyperlink r:id="rId15" w:history="1">
              <w:r w:rsidR="002B7142" w:rsidRPr="002B7142">
                <w:rPr>
                  <w:rStyle w:val="Hyperlink"/>
                </w:rPr>
                <w:t>Post-Tenure Review</w:t>
              </w:r>
            </w:hyperlink>
          </w:p>
        </w:tc>
      </w:tr>
      <w:tr w:rsidR="002B7142" w14:paraId="04259CAC" w14:textId="77777777" w:rsidTr="0082157D">
        <w:tc>
          <w:tcPr>
            <w:tcW w:w="4675" w:type="dxa"/>
          </w:tcPr>
          <w:p w14:paraId="6FB58160" w14:textId="021DE401" w:rsidR="002B7142" w:rsidRPr="00745767" w:rsidRDefault="00C72170">
            <w:pPr>
              <w:rPr>
                <w:i/>
                <w:iCs/>
              </w:rPr>
            </w:pPr>
            <w:hyperlink r:id="rId16" w:anchor="p8.3.6_criteria_for_promotion" w:history="1">
              <w:r w:rsidR="002B7142" w:rsidRPr="002B7142">
                <w:rPr>
                  <w:rStyle w:val="Hyperlink"/>
                  <w:i/>
                  <w:iCs/>
                </w:rPr>
                <w:t>8.3.6 Criteria for Promotion</w:t>
              </w:r>
            </w:hyperlink>
          </w:p>
        </w:tc>
        <w:tc>
          <w:tcPr>
            <w:tcW w:w="4500" w:type="dxa"/>
          </w:tcPr>
          <w:p w14:paraId="213130CB" w14:textId="77777777" w:rsidR="002B7142" w:rsidRDefault="002B7142"/>
        </w:tc>
      </w:tr>
      <w:tr w:rsidR="002B7142" w14:paraId="00DE04FC" w14:textId="77777777" w:rsidTr="0082157D">
        <w:tc>
          <w:tcPr>
            <w:tcW w:w="4675" w:type="dxa"/>
          </w:tcPr>
          <w:p w14:paraId="31F81BB2" w14:textId="14F20B9F" w:rsidR="002B7142" w:rsidRDefault="002B7142">
            <w:r w:rsidRPr="00021FA7">
              <w:t>8.3.6.1 Minimum for All Institutions in All Professorial Ranks</w:t>
            </w:r>
          </w:p>
        </w:tc>
        <w:tc>
          <w:tcPr>
            <w:tcW w:w="4500" w:type="dxa"/>
          </w:tcPr>
          <w:p w14:paraId="164B51C2" w14:textId="77777777" w:rsidR="002B7142" w:rsidRDefault="002B7142"/>
        </w:tc>
      </w:tr>
      <w:tr w:rsidR="002B7142" w14:paraId="5D6B0699" w14:textId="77777777" w:rsidTr="0082157D">
        <w:tc>
          <w:tcPr>
            <w:tcW w:w="4675" w:type="dxa"/>
          </w:tcPr>
          <w:p w14:paraId="5818ABDC" w14:textId="1DB9F1A0" w:rsidR="002B7142" w:rsidRPr="00745767" w:rsidRDefault="00C72170">
            <w:pPr>
              <w:rPr>
                <w:i/>
                <w:iCs/>
              </w:rPr>
            </w:pPr>
            <w:hyperlink r:id="rId17" w:anchor="p8.3.7_tenure_and_criteria_for_tenure" w:history="1">
              <w:r w:rsidR="002B7142" w:rsidRPr="002B7142">
                <w:rPr>
                  <w:rStyle w:val="Hyperlink"/>
                  <w:i/>
                  <w:iCs/>
                </w:rPr>
                <w:t>8.3.7 Tenure and Criteria for Tenure</w:t>
              </w:r>
            </w:hyperlink>
          </w:p>
        </w:tc>
        <w:tc>
          <w:tcPr>
            <w:tcW w:w="4500" w:type="dxa"/>
          </w:tcPr>
          <w:p w14:paraId="4585F076" w14:textId="4BD59E18" w:rsidR="002B7142" w:rsidRDefault="00C72170">
            <w:hyperlink r:id="rId18" w:history="1">
              <w:r w:rsidR="002B7142" w:rsidRPr="002D2C65">
                <w:rPr>
                  <w:rStyle w:val="Hyperlink"/>
                  <w:rFonts w:ascii="Calibri" w:hAnsi="Calibri" w:cs="Calibri"/>
                  <w:shd w:val="clear" w:color="auto" w:fill="FFFFFF"/>
                </w:rPr>
                <w:t>Tenure Procedures</w:t>
              </w:r>
            </w:hyperlink>
          </w:p>
        </w:tc>
      </w:tr>
      <w:tr w:rsidR="002B7142" w14:paraId="0259C9F0" w14:textId="77777777" w:rsidTr="0082157D">
        <w:tc>
          <w:tcPr>
            <w:tcW w:w="4675" w:type="dxa"/>
          </w:tcPr>
          <w:p w14:paraId="6071F390" w14:textId="512EE484" w:rsidR="002B7142" w:rsidRDefault="002B7142">
            <w:r w:rsidRPr="00021FA7">
              <w:t>8.3.7.1 Faculty</w:t>
            </w:r>
          </w:p>
        </w:tc>
        <w:tc>
          <w:tcPr>
            <w:tcW w:w="4500" w:type="dxa"/>
          </w:tcPr>
          <w:p w14:paraId="0E99C81D" w14:textId="77777777" w:rsidR="002B7142" w:rsidRDefault="002B7142"/>
        </w:tc>
      </w:tr>
      <w:tr w:rsidR="002B7142" w14:paraId="2FBC0A79" w14:textId="77777777" w:rsidTr="0082157D">
        <w:tc>
          <w:tcPr>
            <w:tcW w:w="4675" w:type="dxa"/>
          </w:tcPr>
          <w:p w14:paraId="49A4ABEB" w14:textId="05921EF7" w:rsidR="002B7142" w:rsidRDefault="002B7142">
            <w:r w:rsidRPr="00021FA7">
              <w:t>8.3.7.2 Tenure Requirements</w:t>
            </w:r>
          </w:p>
        </w:tc>
        <w:tc>
          <w:tcPr>
            <w:tcW w:w="4500" w:type="dxa"/>
          </w:tcPr>
          <w:p w14:paraId="4D6424E6" w14:textId="77777777" w:rsidR="002B7142" w:rsidRDefault="002B7142"/>
        </w:tc>
      </w:tr>
      <w:tr w:rsidR="002B7142" w14:paraId="14817A4F" w14:textId="77777777" w:rsidTr="0082157D">
        <w:tc>
          <w:tcPr>
            <w:tcW w:w="4675" w:type="dxa"/>
          </w:tcPr>
          <w:p w14:paraId="5BEA8A50" w14:textId="4603D8F6" w:rsidR="002B7142" w:rsidRDefault="002B7142">
            <w:r w:rsidRPr="00021FA7">
              <w:t>8.3.7.3 Criteria for Tenure</w:t>
            </w:r>
          </w:p>
        </w:tc>
        <w:tc>
          <w:tcPr>
            <w:tcW w:w="4500" w:type="dxa"/>
          </w:tcPr>
          <w:p w14:paraId="4FC90E68" w14:textId="77777777" w:rsidR="002B7142" w:rsidRDefault="002B7142"/>
        </w:tc>
      </w:tr>
      <w:tr w:rsidR="002B7142" w14:paraId="4B6A1F4D" w14:textId="77777777" w:rsidTr="0082157D">
        <w:tc>
          <w:tcPr>
            <w:tcW w:w="4675" w:type="dxa"/>
          </w:tcPr>
          <w:p w14:paraId="579047DB" w14:textId="03BFCA32" w:rsidR="002B7142" w:rsidRPr="00B30D72" w:rsidRDefault="00C72170">
            <w:pPr>
              <w:rPr>
                <w:i/>
                <w:iCs/>
              </w:rPr>
            </w:pPr>
            <w:hyperlink r:id="rId19" w:anchor="p8.3.9_discipline_and_removal_of_faculty_members" w:history="1">
              <w:r w:rsidR="002B7142" w:rsidRPr="002B7142">
                <w:rPr>
                  <w:rStyle w:val="Hyperlink"/>
                  <w:i/>
                  <w:iCs/>
                </w:rPr>
                <w:t>8.3.9 Discipline and Removal of Faculty Members</w:t>
              </w:r>
            </w:hyperlink>
          </w:p>
        </w:tc>
        <w:tc>
          <w:tcPr>
            <w:tcW w:w="4500" w:type="dxa"/>
          </w:tcPr>
          <w:p w14:paraId="55218981" w14:textId="77777777" w:rsidR="002B7142" w:rsidRDefault="002B7142"/>
        </w:tc>
      </w:tr>
    </w:tbl>
    <w:p w14:paraId="588AF210" w14:textId="1ED98281" w:rsidR="00E86E4F" w:rsidRDefault="00411083" w:rsidP="00411083">
      <w:pPr>
        <w:pStyle w:val="Heading2"/>
        <w:spacing w:before="160"/>
      </w:pPr>
      <w:r>
        <w:lastRenderedPageBreak/>
        <w:t>Task Force Meetings</w:t>
      </w:r>
      <w:r w:rsidR="007F5572">
        <w:t xml:space="preserve"> with Agenda Items</w:t>
      </w:r>
    </w:p>
    <w:p w14:paraId="2C1DC746" w14:textId="07029445" w:rsidR="00411083" w:rsidRDefault="00411083" w:rsidP="00411083">
      <w:pPr>
        <w:pStyle w:val="ListParagraph"/>
        <w:numPr>
          <w:ilvl w:val="0"/>
          <w:numId w:val="8"/>
        </w:numPr>
      </w:pPr>
      <w:r>
        <w:t>December 6, 2021 (</w:t>
      </w:r>
      <w:r w:rsidR="007F5572">
        <w:t>C</w:t>
      </w:r>
      <w:r>
        <w:t xml:space="preserve">harge, </w:t>
      </w:r>
      <w:r w:rsidR="007F5572">
        <w:t>I</w:t>
      </w:r>
      <w:r>
        <w:t xml:space="preserve">ntroduction to </w:t>
      </w:r>
      <w:r w:rsidR="007F5572">
        <w:t>TEAMS</w:t>
      </w:r>
      <w:r>
        <w:t xml:space="preserve">, </w:t>
      </w:r>
      <w:r w:rsidRPr="00411083">
        <w:t>Review Example of Revised Document and Relation to BOR Policy</w:t>
      </w:r>
      <w:r>
        <w:t xml:space="preserve">, </w:t>
      </w:r>
      <w:r w:rsidRPr="00411083">
        <w:t>Next Steps</w:t>
      </w:r>
      <w:r>
        <w:t xml:space="preserve">, </w:t>
      </w:r>
      <w:r w:rsidRPr="00411083">
        <w:t>Establish Meeting Dates with goal of February 1</w:t>
      </w:r>
      <w:r>
        <w:t>)</w:t>
      </w:r>
    </w:p>
    <w:p w14:paraId="20BC0109" w14:textId="7F3FBB51" w:rsidR="00411083" w:rsidRDefault="00411083" w:rsidP="00411083">
      <w:pPr>
        <w:pStyle w:val="ListParagraph"/>
        <w:numPr>
          <w:ilvl w:val="0"/>
          <w:numId w:val="8"/>
        </w:numPr>
      </w:pPr>
      <w:r>
        <w:t>January 4, 2021 (</w:t>
      </w:r>
      <w:r w:rsidR="007F5572" w:rsidRPr="007F5572">
        <w:t>Review documents revised by team members</w:t>
      </w:r>
      <w:r w:rsidR="007F5572">
        <w:t xml:space="preserve">, </w:t>
      </w:r>
      <w:r w:rsidR="007F5572" w:rsidRPr="007F5572">
        <w:t>Next Steps</w:t>
      </w:r>
      <w:r w:rsidR="007F5572">
        <w:t xml:space="preserve">, </w:t>
      </w:r>
      <w:r w:rsidR="007F5572" w:rsidRPr="007F5572">
        <w:t>Review Meeting Dates with goal of February 1</w:t>
      </w:r>
      <w:r w:rsidR="007F5572">
        <w:t>)</w:t>
      </w:r>
    </w:p>
    <w:p w14:paraId="0ABF17C8" w14:textId="29BBC89C" w:rsidR="00411083" w:rsidRDefault="00411083" w:rsidP="00411083">
      <w:pPr>
        <w:pStyle w:val="ListParagraph"/>
        <w:numPr>
          <w:ilvl w:val="0"/>
          <w:numId w:val="8"/>
        </w:numPr>
      </w:pPr>
      <w:r>
        <w:t>January 11, 2021</w:t>
      </w:r>
      <w:r w:rsidR="007F5572">
        <w:t xml:space="preserve"> (</w:t>
      </w:r>
      <w:r w:rsidR="007F5572" w:rsidRPr="007F5572">
        <w:t>Discuss post-tenure policy revisions</w:t>
      </w:r>
      <w:r w:rsidR="007F5572">
        <w:t xml:space="preserve">, </w:t>
      </w:r>
      <w:r w:rsidR="007F5572" w:rsidRPr="007F5572">
        <w:t>Discuss proposed timeline for faculty with policy changes</w:t>
      </w:r>
      <w:r w:rsidR="007F5572">
        <w:t xml:space="preserve">, </w:t>
      </w:r>
      <w:r w:rsidR="007F5572" w:rsidRPr="007F5572">
        <w:t>Agenda items for next meeting</w:t>
      </w:r>
      <w:r w:rsidR="007F5572">
        <w:t>)</w:t>
      </w:r>
    </w:p>
    <w:p w14:paraId="40C05B7B" w14:textId="4D260BB0" w:rsidR="00411083" w:rsidRPr="00411083" w:rsidRDefault="00411083" w:rsidP="00C37563">
      <w:pPr>
        <w:pStyle w:val="ListParagraph"/>
        <w:numPr>
          <w:ilvl w:val="0"/>
          <w:numId w:val="8"/>
        </w:numPr>
      </w:pPr>
      <w:r>
        <w:t>January 1</w:t>
      </w:r>
      <w:r w:rsidR="007F5572">
        <w:t>8</w:t>
      </w:r>
      <w:r>
        <w:t>, 2021</w:t>
      </w:r>
      <w:r w:rsidR="007F5572">
        <w:t xml:space="preserve"> (</w:t>
      </w:r>
      <w:r w:rsidR="007F5572" w:rsidRPr="007F5572">
        <w:t>Provost Spirou – Updates from USG Sector Provosts Meeting</w:t>
      </w:r>
      <w:r w:rsidR="007F5572">
        <w:t xml:space="preserve">; </w:t>
      </w:r>
      <w:r w:rsidR="007F5572" w:rsidRPr="007F5572">
        <w:t>Faculty Annual Evaluation</w:t>
      </w:r>
      <w:r w:rsidR="007F5572">
        <w:t xml:space="preserve">; </w:t>
      </w:r>
      <w:r w:rsidR="007F5572" w:rsidRPr="007F5572">
        <w:t>Five Year Administrative Review</w:t>
      </w:r>
      <w:r w:rsidR="007F5572">
        <w:t xml:space="preserve">; </w:t>
      </w:r>
      <w:r w:rsidR="007F5572" w:rsidRPr="007F5572">
        <w:t>Post Tenure Graphic/Decision Path</w:t>
      </w:r>
      <w:r w:rsidR="007F5572">
        <w:t xml:space="preserve">; </w:t>
      </w:r>
      <w:r w:rsidR="007F5572" w:rsidRPr="007F5572">
        <w:t>Timeline of Implementation</w:t>
      </w:r>
      <w:r w:rsidR="007F5572">
        <w:t xml:space="preserve">; </w:t>
      </w:r>
      <w:r w:rsidR="007F5572" w:rsidRPr="007F5572">
        <w:t>Add meeting dates to hold for February 1, 8, 15th – 8:00am-9:30am</w:t>
      </w:r>
      <w:r w:rsidR="007F5572">
        <w:t xml:space="preserve">; </w:t>
      </w:r>
      <w:r w:rsidR="007F5572" w:rsidRPr="007F5572">
        <w:t>Structure for the Report</w:t>
      </w:r>
      <w:r w:rsidR="007F5572">
        <w:t xml:space="preserve">; </w:t>
      </w:r>
      <w:r w:rsidR="007F5572" w:rsidRPr="007F5572">
        <w:t>Agenda Items for next week</w:t>
      </w:r>
      <w:r w:rsidR="007F5572">
        <w:t xml:space="preserve">) </w:t>
      </w:r>
    </w:p>
    <w:p w14:paraId="2234BDDC" w14:textId="3B239E5B" w:rsidR="00C37563" w:rsidRDefault="00C37563" w:rsidP="00C37563">
      <w:pPr>
        <w:pStyle w:val="Heading2"/>
        <w:spacing w:before="160"/>
      </w:pPr>
      <w:r>
        <w:t>Current Status</w:t>
      </w:r>
    </w:p>
    <w:p w14:paraId="27DDA884" w14:textId="5820E559" w:rsidR="00954736" w:rsidRDefault="00F6636D" w:rsidP="00C37563">
      <w:r>
        <w:t xml:space="preserve">Provost Spirou informed us at our last meeting about </w:t>
      </w:r>
      <w:r w:rsidRPr="00F6636D">
        <w:t>guidelines</w:t>
      </w:r>
      <w:r>
        <w:t xml:space="preserve"> that are currently being developed at the USG</w:t>
      </w:r>
      <w:r w:rsidR="00E82DC1">
        <w:t xml:space="preserve"> which will affect our revisions</w:t>
      </w:r>
      <w:r w:rsidR="005A5C65">
        <w:t xml:space="preserve">. Included in those guidelines are the </w:t>
      </w:r>
      <w:r w:rsidR="00505533">
        <w:t xml:space="preserve">use of a </w:t>
      </w:r>
      <w:r w:rsidR="00954736">
        <w:t>five-point</w:t>
      </w:r>
      <w:r w:rsidR="005A5C65">
        <w:t xml:space="preserve"> Likert scale</w:t>
      </w:r>
      <w:r w:rsidR="00505533">
        <w:t xml:space="preserve"> in </w:t>
      </w:r>
      <w:r w:rsidR="002B4C57">
        <w:rPr>
          <w:strike/>
        </w:rPr>
        <w:t>a</w:t>
      </w:r>
      <w:r w:rsidR="00505533">
        <w:t>nnual evaluations. Also included are</w:t>
      </w:r>
      <w:r w:rsidR="005A5C65">
        <w:t xml:space="preserve"> </w:t>
      </w:r>
      <w:r w:rsidR="00505533" w:rsidRPr="00505533">
        <w:t>due-process mechanisms</w:t>
      </w:r>
      <w:r w:rsidR="00505533">
        <w:t xml:space="preserve"> with timelines</w:t>
      </w:r>
      <w:r w:rsidR="00954736">
        <w:t xml:space="preserve"> for submission of documents and appeals.</w:t>
      </w:r>
      <w:r w:rsidRPr="00F6636D">
        <w:t xml:space="preserve"> </w:t>
      </w:r>
      <w:r w:rsidR="00954736">
        <w:t xml:space="preserve">As of Thursday, January 20, we have not received the new guidelines. Provost Spirou will share those, and any associated changes in deadlines, with the task force as soon as he receives them. </w:t>
      </w:r>
    </w:p>
    <w:p w14:paraId="19C7BDBA" w14:textId="77777777" w:rsidR="00C72170" w:rsidRDefault="00C37563" w:rsidP="00C37563">
      <w:r>
        <w:t>The task force will continue m</w:t>
      </w:r>
      <w:r w:rsidRPr="00C37563">
        <w:t>eeting weekly</w:t>
      </w:r>
      <w:r>
        <w:t xml:space="preserve">, </w:t>
      </w:r>
      <w:proofErr w:type="gramStart"/>
      <w:r>
        <w:t>reviewing</w:t>
      </w:r>
      <w:proofErr w:type="gramEnd"/>
      <w:r>
        <w:t xml:space="preserve"> and</w:t>
      </w:r>
      <w:r w:rsidRPr="00C37563">
        <w:t xml:space="preserve"> revising policies</w:t>
      </w:r>
      <w:r>
        <w:t xml:space="preserve"> and procedures, as we </w:t>
      </w:r>
      <w:r w:rsidR="00954736">
        <w:t>remain</w:t>
      </w:r>
      <w:r>
        <w:t xml:space="preserve"> on a very c</w:t>
      </w:r>
      <w:r w:rsidRPr="00C37563">
        <w:t xml:space="preserve">ompressed timeline </w:t>
      </w:r>
      <w:r>
        <w:t>to finish our work by</w:t>
      </w:r>
      <w:r w:rsidRPr="00C37563">
        <w:t xml:space="preserve"> Feb</w:t>
      </w:r>
      <w:r>
        <w:t>ruary</w:t>
      </w:r>
      <w:r w:rsidRPr="00C37563">
        <w:t xml:space="preserve"> 1</w:t>
      </w:r>
      <w:r w:rsidR="002B4C57">
        <w:t>. This deadline could be ext</w:t>
      </w:r>
      <w:r w:rsidR="004A127B">
        <w:t xml:space="preserve">ended based on receipt of the </w:t>
      </w:r>
      <w:proofErr w:type="gramStart"/>
      <w:r w:rsidR="004A127B">
        <w:t>aforementioned USG</w:t>
      </w:r>
      <w:proofErr w:type="gramEnd"/>
      <w:r w:rsidR="004A127B">
        <w:t xml:space="preserve"> guidelines.</w:t>
      </w:r>
      <w:r w:rsidR="001D56E8">
        <w:t xml:space="preserve"> </w:t>
      </w:r>
      <w:r>
        <w:t xml:space="preserve">Once we turn in our finalized </w:t>
      </w:r>
      <w:r w:rsidRPr="004A127B">
        <w:rPr>
          <w:color w:val="000000" w:themeColor="text1"/>
        </w:rPr>
        <w:t xml:space="preserve">documents </w:t>
      </w:r>
      <w:r w:rsidR="002A65DE" w:rsidRPr="004A127B">
        <w:rPr>
          <w:color w:val="000000" w:themeColor="text1"/>
        </w:rPr>
        <w:t>in a summary report</w:t>
      </w:r>
      <w:r w:rsidR="002A65DE">
        <w:rPr>
          <w:color w:val="FF0000"/>
        </w:rPr>
        <w:t xml:space="preserve"> </w:t>
      </w:r>
      <w:r>
        <w:t xml:space="preserve">to Provost Spirou, there will be an </w:t>
      </w:r>
      <w:r w:rsidRPr="00C37563">
        <w:t>opportunity for university faculty to review and comment on revisions</w:t>
      </w:r>
      <w:r w:rsidRPr="00C72170">
        <w:rPr>
          <w:color w:val="000000" w:themeColor="text1"/>
        </w:rPr>
        <w:t xml:space="preserve"> </w:t>
      </w:r>
      <w:r w:rsidR="00C72170" w:rsidRPr="00C72170">
        <w:rPr>
          <w:color w:val="000000" w:themeColor="text1"/>
        </w:rPr>
        <w:t>via a Q&amp;A session that will be scheduled</w:t>
      </w:r>
      <w:r w:rsidR="00C72170" w:rsidRPr="00C72170">
        <w:rPr>
          <w:color w:val="000000" w:themeColor="text1"/>
        </w:rPr>
        <w:t xml:space="preserve"> </w:t>
      </w:r>
      <w:r w:rsidRPr="00C37563">
        <w:t xml:space="preserve">prior to </w:t>
      </w:r>
      <w:r w:rsidR="00595160">
        <w:t>submitting</w:t>
      </w:r>
      <w:r w:rsidRPr="00C37563">
        <w:t xml:space="preserve"> changes </w:t>
      </w:r>
      <w:r w:rsidR="00896543">
        <w:t xml:space="preserve">to the </w:t>
      </w:r>
      <w:r w:rsidRPr="00C37563">
        <w:t>BOR by March 1</w:t>
      </w:r>
      <w:r w:rsidR="00C72170">
        <w:t>.</w:t>
      </w:r>
      <w:r w:rsidR="002A65DE">
        <w:rPr>
          <w:color w:val="FF0000"/>
        </w:rPr>
        <w:t xml:space="preserve"> </w:t>
      </w:r>
      <w:r w:rsidR="00896543">
        <w:t>If anyone has any questions about the process</w:t>
      </w:r>
      <w:r w:rsidR="00954736">
        <w:t xml:space="preserve"> or the task force</w:t>
      </w:r>
      <w:r w:rsidR="00896543">
        <w:t>, please feel free to contact any of the task force members</w:t>
      </w:r>
      <w:r w:rsidR="001017F0">
        <w:t>. Provost Spirou may also have more information in his report.</w:t>
      </w:r>
      <w:r w:rsidR="00954736">
        <w:t xml:space="preserve"> </w:t>
      </w:r>
    </w:p>
    <w:p w14:paraId="607ED7BB" w14:textId="0BC82F35" w:rsidR="00C37563" w:rsidRPr="00C37563" w:rsidRDefault="00560D4A" w:rsidP="00C37563">
      <w:r>
        <w:t>I</w:t>
      </w:r>
      <w:r w:rsidRPr="00560D4A">
        <w:t xml:space="preserve">f you have feedback </w:t>
      </w:r>
      <w:r>
        <w:t xml:space="preserve">for the USG </w:t>
      </w:r>
      <w:r w:rsidRPr="00560D4A">
        <w:t xml:space="preserve">on the new post-tenure review policy implementation, feel free to click this link and submit your thoughts: </w:t>
      </w:r>
      <w:hyperlink r:id="rId20" w:history="1">
        <w:r w:rsidRPr="00700CCE">
          <w:rPr>
            <w:rStyle w:val="Hyperlink"/>
          </w:rPr>
          <w:t>https://www.usg.edu/post-tenure-review/feedback</w:t>
        </w:r>
      </w:hyperlink>
      <w:r w:rsidRPr="00560D4A">
        <w:t>.</w:t>
      </w:r>
      <w:r>
        <w:t xml:space="preserve"> </w:t>
      </w:r>
    </w:p>
    <w:p w14:paraId="2D5B16C8" w14:textId="625A197C" w:rsidR="00021FA7" w:rsidRDefault="00630FA7" w:rsidP="0043252D">
      <w:pPr>
        <w:pStyle w:val="Heading1"/>
      </w:pPr>
      <w:r>
        <w:t xml:space="preserve">Other </w:t>
      </w:r>
      <w:r w:rsidR="0043252D">
        <w:t>Relevant Links</w:t>
      </w:r>
    </w:p>
    <w:p w14:paraId="19DEBD5B" w14:textId="012AC591" w:rsidR="00B30D72" w:rsidRDefault="00C72170" w:rsidP="0043252D">
      <w:pPr>
        <w:spacing w:after="120"/>
      </w:pPr>
      <w:hyperlink r:id="rId21" w:history="1">
        <w:r w:rsidR="0043252D" w:rsidRPr="0043252D">
          <w:rPr>
            <w:rStyle w:val="Hyperlink"/>
          </w:rPr>
          <w:t xml:space="preserve">ACADEMIC &amp; STUDENT AFFAIRS HANDBOOK: Procedural guide for implementing </w:t>
        </w:r>
        <w:proofErr w:type="spellStart"/>
        <w:r w:rsidR="0043252D" w:rsidRPr="0043252D">
          <w:rPr>
            <w:rStyle w:val="Hyperlink"/>
          </w:rPr>
          <w:t>BoR</w:t>
        </w:r>
        <w:proofErr w:type="spellEnd"/>
        <w:r w:rsidR="0043252D" w:rsidRPr="0043252D">
          <w:rPr>
            <w:rStyle w:val="Hyperlink"/>
          </w:rPr>
          <w:t xml:space="preserve"> policies related to Academic Affairs</w:t>
        </w:r>
      </w:hyperlink>
    </w:p>
    <w:p w14:paraId="60E9F436" w14:textId="028DACDD" w:rsidR="0045411A" w:rsidRPr="0045411A" w:rsidRDefault="0045411A" w:rsidP="0043252D">
      <w:pPr>
        <w:spacing w:after="120"/>
        <w:rPr>
          <w:rStyle w:val="Hyperlink"/>
        </w:rPr>
      </w:pPr>
      <w:r>
        <w:fldChar w:fldCharType="begin"/>
      </w:r>
      <w:r>
        <w:instrText xml:space="preserve"> HYPERLINK "https://www.usg.edu/post-tenure-review" </w:instrText>
      </w:r>
      <w:r>
        <w:fldChar w:fldCharType="separate"/>
      </w:r>
      <w:r w:rsidRPr="0045411A">
        <w:rPr>
          <w:rStyle w:val="Hyperlink"/>
        </w:rPr>
        <w:t>UNIVERSITY SYSTEM OF GEORGIA POST-TENURE REVIEW</w:t>
      </w:r>
    </w:p>
    <w:p w14:paraId="7F808993" w14:textId="635A0C20" w:rsidR="0045411A" w:rsidRPr="00954736" w:rsidRDefault="0045411A" w:rsidP="0045411A">
      <w:pPr>
        <w:spacing w:after="120"/>
        <w:rPr>
          <w:b/>
          <w:bCs/>
        </w:rPr>
      </w:pPr>
      <w:r>
        <w:fldChar w:fldCharType="end"/>
      </w:r>
      <w:hyperlink r:id="rId22" w:history="1">
        <w:r w:rsidRPr="00954736">
          <w:rPr>
            <w:rStyle w:val="Hyperlink"/>
            <w:b/>
            <w:bCs/>
          </w:rPr>
          <w:t>UNIVERSITY SYSTEM OF GEORGIA POST-TENURE REVIEW Feedback on Implementation</w:t>
        </w:r>
      </w:hyperlink>
    </w:p>
    <w:p w14:paraId="38A9C785" w14:textId="67A39E04" w:rsidR="0043252D" w:rsidRDefault="00C72170" w:rsidP="0043252D">
      <w:pPr>
        <w:spacing w:after="120"/>
      </w:pPr>
      <w:hyperlink r:id="rId23" w:history="1">
        <w:r w:rsidR="0043252D" w:rsidRPr="0043252D">
          <w:rPr>
            <w:rStyle w:val="Hyperlink"/>
          </w:rPr>
          <w:t>Georgia College Faculty Handbook</w:t>
        </w:r>
      </w:hyperlink>
    </w:p>
    <w:p w14:paraId="0AF1DD0B" w14:textId="4D413AB4" w:rsidR="0043252D" w:rsidRDefault="00C72170" w:rsidP="0043252D">
      <w:pPr>
        <w:spacing w:after="120"/>
      </w:pPr>
      <w:hyperlink r:id="rId24" w:history="1">
        <w:r w:rsidR="0043252D" w:rsidRPr="0043252D">
          <w:rPr>
            <w:rStyle w:val="Hyperlink"/>
          </w:rPr>
          <w:t>Georgia College Academic Affairs Policies, Procedures, and Practices Manual Forms</w:t>
        </w:r>
      </w:hyperlink>
    </w:p>
    <w:p w14:paraId="5A75E66D" w14:textId="0F469DE9" w:rsidR="0043252D" w:rsidRDefault="00C72170" w:rsidP="0043252D">
      <w:pPr>
        <w:spacing w:after="120"/>
      </w:pPr>
      <w:hyperlink r:id="rId25" w:history="1">
        <w:r w:rsidR="0043252D" w:rsidRPr="0043252D">
          <w:rPr>
            <w:rStyle w:val="Hyperlink"/>
          </w:rPr>
          <w:t>Georgia College Tenure Policy</w:t>
        </w:r>
      </w:hyperlink>
    </w:p>
    <w:p w14:paraId="2324B5A9" w14:textId="1AF3315C" w:rsidR="0043252D" w:rsidRDefault="00C72170" w:rsidP="0043252D">
      <w:pPr>
        <w:spacing w:after="120"/>
      </w:pPr>
      <w:hyperlink r:id="rId26" w:history="1">
        <w:r w:rsidR="00D571C0" w:rsidRPr="00D571C0">
          <w:rPr>
            <w:rStyle w:val="Hyperlink"/>
          </w:rPr>
          <w:t>Georgia College Tenure Procedures</w:t>
        </w:r>
      </w:hyperlink>
    </w:p>
    <w:p w14:paraId="2C6FAD0D" w14:textId="4D8B3346" w:rsidR="00127C66" w:rsidRDefault="00C72170" w:rsidP="00C37563">
      <w:pPr>
        <w:spacing w:after="120"/>
      </w:pPr>
      <w:hyperlink r:id="rId27" w:history="1">
        <w:r w:rsidR="00D571C0" w:rsidRPr="00D571C0">
          <w:rPr>
            <w:rStyle w:val="Hyperlink"/>
          </w:rPr>
          <w:t>Georgia College Promotion Policies</w:t>
        </w:r>
      </w:hyperlink>
    </w:p>
    <w:p w14:paraId="5CF8C6B8" w14:textId="77777777" w:rsidR="0045411A" w:rsidRDefault="0045411A">
      <w:pPr>
        <w:spacing w:after="120"/>
      </w:pPr>
    </w:p>
    <w:sectPr w:rsidR="0045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F5F"/>
    <w:multiLevelType w:val="hybridMultilevel"/>
    <w:tmpl w:val="8480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E25"/>
    <w:multiLevelType w:val="hybridMultilevel"/>
    <w:tmpl w:val="9180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261B"/>
    <w:multiLevelType w:val="multilevel"/>
    <w:tmpl w:val="2FCC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569D1"/>
    <w:multiLevelType w:val="multilevel"/>
    <w:tmpl w:val="A47C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400AD"/>
    <w:multiLevelType w:val="multilevel"/>
    <w:tmpl w:val="1D9E9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91477"/>
    <w:multiLevelType w:val="multilevel"/>
    <w:tmpl w:val="AE429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E3F8B"/>
    <w:multiLevelType w:val="multilevel"/>
    <w:tmpl w:val="EC7E4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34E07"/>
    <w:multiLevelType w:val="multilevel"/>
    <w:tmpl w:val="389ACC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0NDAwMzEyNjE1MDdX0lEKTi0uzszPAykwrgUA7HA16CwAAAA="/>
  </w:docVars>
  <w:rsids>
    <w:rsidRoot w:val="00127C66"/>
    <w:rsid w:val="00001D9A"/>
    <w:rsid w:val="00011E3E"/>
    <w:rsid w:val="00021FA7"/>
    <w:rsid w:val="000938A5"/>
    <w:rsid w:val="001017F0"/>
    <w:rsid w:val="00127C66"/>
    <w:rsid w:val="001D4E9D"/>
    <w:rsid w:val="001D56E8"/>
    <w:rsid w:val="00202442"/>
    <w:rsid w:val="002A65DE"/>
    <w:rsid w:val="002B4C57"/>
    <w:rsid w:val="002B7142"/>
    <w:rsid w:val="002D2C65"/>
    <w:rsid w:val="00411083"/>
    <w:rsid w:val="0043252D"/>
    <w:rsid w:val="0045411A"/>
    <w:rsid w:val="004A127B"/>
    <w:rsid w:val="00505533"/>
    <w:rsid w:val="00560D4A"/>
    <w:rsid w:val="00595160"/>
    <w:rsid w:val="005A5C65"/>
    <w:rsid w:val="00604B8A"/>
    <w:rsid w:val="00630FA7"/>
    <w:rsid w:val="00745767"/>
    <w:rsid w:val="007F5572"/>
    <w:rsid w:val="0082157D"/>
    <w:rsid w:val="00877833"/>
    <w:rsid w:val="00896543"/>
    <w:rsid w:val="009321C5"/>
    <w:rsid w:val="00954736"/>
    <w:rsid w:val="00A07F09"/>
    <w:rsid w:val="00A4023C"/>
    <w:rsid w:val="00B062CA"/>
    <w:rsid w:val="00B30D72"/>
    <w:rsid w:val="00BF1166"/>
    <w:rsid w:val="00C37563"/>
    <w:rsid w:val="00C72170"/>
    <w:rsid w:val="00D571C0"/>
    <w:rsid w:val="00D66380"/>
    <w:rsid w:val="00DB2E31"/>
    <w:rsid w:val="00E40812"/>
    <w:rsid w:val="00E82DC1"/>
    <w:rsid w:val="00E86E4F"/>
    <w:rsid w:val="00F16FC7"/>
    <w:rsid w:val="00F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D987"/>
  <w15:chartTrackingRefBased/>
  <w15:docId w15:val="{B744821B-38C5-4E93-BEFE-A7A575AD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1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062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.edu/post-tenure-review/frequently-asked-questions" TargetMode="External"/><Relationship Id="rId13" Type="http://schemas.openxmlformats.org/officeDocument/2006/relationships/hyperlink" Target="https://gcsu.smartcatalogiq.com/Policy-Manual/Policy-Manual/Academic-Affairs/EmploymentPolicies-Procedures-Benefits/Performance-Evaluations-Administrators-and-Faculty/Faculty-Performance-Evaluation/Faculty-Review-System-Philosophy-and-General-Procedures" TargetMode="External"/><Relationship Id="rId18" Type="http://schemas.openxmlformats.org/officeDocument/2006/relationships/hyperlink" Target="https://gcsu.smartcatalogiq.com/Policy-Manual/Policy-Manual/Academic-Affairs/EmploymentPolicies-Procedures-Benefits/Performance-Evaluations-Administrators-and-Faculty/Promotion-and-Tenure/Tenure-Procedures" TargetMode="External"/><Relationship Id="rId26" Type="http://schemas.openxmlformats.org/officeDocument/2006/relationships/hyperlink" Target="https://gcsu.smartcatalogiq.com/Policy-Manual/Policy-Manual/Academic-Affairs/EmploymentPolicies-Procedures-Benefits/Performance-Evaluations-Administrators-and-Faculty/Promotion-and-Tenure/Tenure-Procedur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sg.edu/academic_affairs_handbook/section4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gcsu.smartcatalogiq.com/Policy-Manual/Policy-Manual/Academic-Affairs/EmploymentPolicies-Procedures-Benefits/Performance-Evaluations-Administrators-and-Faculty/Faculty-Performance-Evaluation/Teaching-Effectiveness-Assessing" TargetMode="External"/><Relationship Id="rId17" Type="http://schemas.openxmlformats.org/officeDocument/2006/relationships/hyperlink" Target="https://www.usg.edu/policymanual/section8/C245/" TargetMode="External"/><Relationship Id="rId25" Type="http://schemas.openxmlformats.org/officeDocument/2006/relationships/hyperlink" Target="https://gcsu.smartcatalogiq.com/Policy-Manual/Policy-Manual/Academic-Affairs/EmploymentPolicies-Procedures-Benefits/Performance-Evaluations-Administrators-and-Faculty/Promotion-and-Tenure/Tenure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g.edu/policymanual/section8/C245/" TargetMode="External"/><Relationship Id="rId20" Type="http://schemas.openxmlformats.org/officeDocument/2006/relationships/hyperlink" Target="https://www.usg.edu/post-tenure-review/feedba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gcsu.smartcatalogiq.com/Policy-Manual/Policy-Manual/Academic-Affairs/EmploymentPolicies-Procedures-Benefits/Performance-Evaluations-Administrators-and-Faculty/Faculty-Performance-Evaluation/Pre-Tenure-Review" TargetMode="External"/><Relationship Id="rId24" Type="http://schemas.openxmlformats.org/officeDocument/2006/relationships/hyperlink" Target="https://intranet.gcsu.edu/academic-affairs/policies-procedures-and-practices-manual-for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su.smartcatalogiq.com/Policy-Manual/Policy-Manual/Academic-Affairs/EmploymentPolicies-Procedures-Benefits/Performance-Evaluations-Administrators-and-Faculty/Faculty-Performance-Evaluation/Post-Tenure-Review" TargetMode="External"/><Relationship Id="rId23" Type="http://schemas.openxmlformats.org/officeDocument/2006/relationships/hyperlink" Target="https://gcsu.smartcatalogiq.com/en/Policy-Manual/Policy-Manual/Faculty-Handboo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sg.edu/policymanual/section8/C245/" TargetMode="External"/><Relationship Id="rId19" Type="http://schemas.openxmlformats.org/officeDocument/2006/relationships/hyperlink" Target="https://www.usg.edu/policymanual/section8/C2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g.edu/policymanual/section8/C245" TargetMode="External"/><Relationship Id="rId14" Type="http://schemas.openxmlformats.org/officeDocument/2006/relationships/hyperlink" Target="https://gcsu.smartcatalogiq.com/Policy-Manual/Policy-Manual/Academic-Affairs/EmploymentPolicies-Procedures-Benefits/Performance-Evaluations-Administrators-and-Faculty/Five-Year-Review-of-Academic-Administrators" TargetMode="External"/><Relationship Id="rId22" Type="http://schemas.openxmlformats.org/officeDocument/2006/relationships/hyperlink" Target="https://www.usg.edu/post-tenure-review/feedback" TargetMode="External"/><Relationship Id="rId27" Type="http://schemas.openxmlformats.org/officeDocument/2006/relationships/hyperlink" Target="https://gcsu.smartcatalogiq.com/Policy-Manual/Policy-Manual/Academic-Affairs/EmploymentPolicies-Procedures-Benefits/Performance-Evaluations-Administrators-and-Faculty/Promotion-and-Tenure/Promotion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A675-86CE-4BAA-8420-EB498C49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Flory</dc:creator>
  <cp:keywords/>
  <dc:description/>
  <cp:lastModifiedBy>Jennifer Flory</cp:lastModifiedBy>
  <cp:revision>2</cp:revision>
  <dcterms:created xsi:type="dcterms:W3CDTF">2022-01-20T23:23:00Z</dcterms:created>
  <dcterms:modified xsi:type="dcterms:W3CDTF">2022-01-20T23:23:00Z</dcterms:modified>
</cp:coreProperties>
</file>